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6D2E7" w14:textId="77777777" w:rsidR="00D04902" w:rsidRPr="00876A31" w:rsidRDefault="00A87109" w:rsidP="00D34E70">
      <w:pPr>
        <w:snapToGrid w:val="0"/>
        <w:spacing w:before="40" w:after="40" w:line="360" w:lineRule="exact"/>
        <w:ind w:right="4394"/>
        <w:jc w:val="both"/>
        <w:rPr>
          <w:rFonts w:ascii="Times New Roman" w:hAnsi="Times New Roman" w:cs="Times New Roman"/>
          <w:b/>
          <w:color w:val="000000" w:themeColor="text1"/>
          <w:sz w:val="28"/>
          <w:szCs w:val="28"/>
        </w:rPr>
      </w:pPr>
      <w:r w:rsidRPr="00876A31">
        <w:rPr>
          <w:rFonts w:ascii="Times New Roman" w:hAnsi="Times New Roman" w:cs="Times New Roman"/>
          <w:b/>
          <w:color w:val="000000" w:themeColor="text1"/>
          <w:sz w:val="28"/>
          <w:szCs w:val="28"/>
        </w:rPr>
        <w:t>Đại sứ quán Việt Nam tại Trung Quốc</w:t>
      </w:r>
    </w:p>
    <w:p w14:paraId="51684EC4" w14:textId="423939FE" w:rsidR="00FC514C" w:rsidRPr="00876A31" w:rsidRDefault="00FC514C" w:rsidP="00876A31">
      <w:pPr>
        <w:snapToGrid w:val="0"/>
        <w:spacing w:before="40" w:after="40" w:line="360" w:lineRule="exact"/>
        <w:ind w:right="4394" w:firstLine="720"/>
        <w:jc w:val="both"/>
        <w:rPr>
          <w:rFonts w:ascii="Times New Roman" w:hAnsi="Times New Roman" w:cs="Times New Roman"/>
          <w:b/>
          <w:color w:val="000000" w:themeColor="text1"/>
          <w:sz w:val="28"/>
          <w:szCs w:val="28"/>
        </w:rPr>
      </w:pPr>
      <w:r w:rsidRPr="00876A31">
        <w:rPr>
          <w:rFonts w:ascii="Times New Roman" w:hAnsi="Times New Roman" w:cs="Times New Roman"/>
          <w:b/>
          <w:color w:val="000000" w:themeColor="text1"/>
          <w:sz w:val="28"/>
          <w:szCs w:val="28"/>
        </w:rPr>
        <w:t xml:space="preserve">Phòng Kinh tế </w:t>
      </w:r>
      <w:r w:rsidR="00EC1CEB" w:rsidRPr="00876A31">
        <w:rPr>
          <w:rFonts w:ascii="Times New Roman" w:hAnsi="Times New Roman" w:cs="Times New Roman"/>
          <w:b/>
          <w:color w:val="000000" w:themeColor="text1"/>
          <w:sz w:val="28"/>
          <w:szCs w:val="28"/>
        </w:rPr>
        <w:t>và</w:t>
      </w:r>
      <w:r w:rsidR="008E7054" w:rsidRPr="00876A31">
        <w:rPr>
          <w:rFonts w:ascii="Times New Roman" w:hAnsi="Times New Roman" w:cs="Times New Roman"/>
          <w:b/>
          <w:color w:val="000000" w:themeColor="text1"/>
          <w:sz w:val="28"/>
          <w:szCs w:val="28"/>
        </w:rPr>
        <w:t xml:space="preserve"> Thương vụ</w:t>
      </w:r>
    </w:p>
    <w:p w14:paraId="7FE18EC5" w14:textId="4DAEC79B" w:rsidR="00A87109" w:rsidRPr="00876A31" w:rsidRDefault="00A87109" w:rsidP="00FC563B">
      <w:pPr>
        <w:snapToGrid w:val="0"/>
        <w:spacing w:before="40" w:after="40" w:line="360" w:lineRule="exact"/>
        <w:ind w:right="4394" w:firstLine="720"/>
        <w:jc w:val="center"/>
        <w:rPr>
          <w:rFonts w:ascii="Times New Roman" w:hAnsi="Times New Roman" w:cs="Times New Roman"/>
          <w:b/>
          <w:color w:val="000000" w:themeColor="text1"/>
          <w:sz w:val="28"/>
          <w:szCs w:val="28"/>
        </w:rPr>
      </w:pPr>
      <w:r w:rsidRPr="00876A31">
        <w:rPr>
          <w:rFonts w:ascii="Times New Roman" w:hAnsi="Times New Roman" w:cs="Times New Roman"/>
          <w:b/>
          <w:color w:val="000000" w:themeColor="text1"/>
          <w:sz w:val="28"/>
          <w:szCs w:val="28"/>
        </w:rPr>
        <w:t>---------</w:t>
      </w:r>
    </w:p>
    <w:p w14:paraId="0B2F1A46" w14:textId="77777777" w:rsidR="00A87109" w:rsidRPr="00876A31" w:rsidRDefault="00A87109" w:rsidP="00876A31">
      <w:pPr>
        <w:snapToGrid w:val="0"/>
        <w:spacing w:before="40" w:after="40" w:line="360" w:lineRule="exact"/>
        <w:ind w:firstLine="720"/>
        <w:jc w:val="both"/>
        <w:rPr>
          <w:rFonts w:ascii="Times New Roman" w:hAnsi="Times New Roman" w:cs="Times New Roman"/>
          <w:b/>
          <w:bCs/>
          <w:iCs/>
          <w:color w:val="000000" w:themeColor="text1"/>
          <w:sz w:val="28"/>
          <w:szCs w:val="28"/>
        </w:rPr>
      </w:pPr>
    </w:p>
    <w:p w14:paraId="290FA8E7" w14:textId="51186082" w:rsidR="00A87109" w:rsidRPr="00876A31" w:rsidRDefault="00A87109" w:rsidP="00D34E70">
      <w:pPr>
        <w:snapToGrid w:val="0"/>
        <w:spacing w:before="40" w:after="40" w:line="360" w:lineRule="exact"/>
        <w:ind w:firstLine="720"/>
        <w:jc w:val="center"/>
        <w:rPr>
          <w:rFonts w:ascii="Times New Roman" w:hAnsi="Times New Roman" w:cs="Times New Roman"/>
          <w:b/>
          <w:bCs/>
          <w:iCs/>
          <w:color w:val="000000" w:themeColor="text1"/>
          <w:sz w:val="28"/>
          <w:szCs w:val="28"/>
        </w:rPr>
      </w:pPr>
      <w:r w:rsidRPr="00876A31">
        <w:rPr>
          <w:rFonts w:ascii="Times New Roman" w:hAnsi="Times New Roman" w:cs="Times New Roman"/>
          <w:b/>
          <w:bCs/>
          <w:iCs/>
          <w:color w:val="000000" w:themeColor="text1"/>
          <w:sz w:val="28"/>
          <w:szCs w:val="28"/>
        </w:rPr>
        <w:t>BẢN TIN KINH TẾ</w:t>
      </w:r>
      <w:r w:rsidR="00FC514C" w:rsidRPr="00876A31">
        <w:rPr>
          <w:rFonts w:ascii="Times New Roman" w:hAnsi="Times New Roman" w:cs="Times New Roman"/>
          <w:b/>
          <w:bCs/>
          <w:iCs/>
          <w:color w:val="000000" w:themeColor="text1"/>
          <w:sz w:val="28"/>
          <w:szCs w:val="28"/>
        </w:rPr>
        <w:t xml:space="preserve"> - THƯƠNG MẠI</w:t>
      </w:r>
      <w:r w:rsidRPr="00876A31">
        <w:rPr>
          <w:rFonts w:ascii="Times New Roman" w:hAnsi="Times New Roman" w:cs="Times New Roman"/>
          <w:b/>
          <w:bCs/>
          <w:iCs/>
          <w:color w:val="000000" w:themeColor="text1"/>
          <w:sz w:val="28"/>
          <w:szCs w:val="28"/>
        </w:rPr>
        <w:t xml:space="preserve"> THÁNG </w:t>
      </w:r>
      <w:r w:rsidR="00455401" w:rsidRPr="00876A31">
        <w:rPr>
          <w:rFonts w:ascii="Times New Roman" w:hAnsi="Times New Roman" w:cs="Times New Roman"/>
          <w:b/>
          <w:bCs/>
          <w:iCs/>
          <w:color w:val="000000" w:themeColor="text1"/>
          <w:sz w:val="28"/>
          <w:szCs w:val="28"/>
        </w:rPr>
        <w:t>01</w:t>
      </w:r>
      <w:r w:rsidRPr="00876A31">
        <w:rPr>
          <w:rFonts w:ascii="Times New Roman" w:hAnsi="Times New Roman" w:cs="Times New Roman"/>
          <w:b/>
          <w:bCs/>
          <w:iCs/>
          <w:color w:val="000000" w:themeColor="text1"/>
          <w:sz w:val="28"/>
          <w:szCs w:val="28"/>
        </w:rPr>
        <w:t>/202</w:t>
      </w:r>
      <w:r w:rsidR="00455401" w:rsidRPr="00876A31">
        <w:rPr>
          <w:rFonts w:ascii="Times New Roman" w:hAnsi="Times New Roman" w:cs="Times New Roman"/>
          <w:b/>
          <w:bCs/>
          <w:iCs/>
          <w:color w:val="000000" w:themeColor="text1"/>
          <w:sz w:val="28"/>
          <w:szCs w:val="28"/>
        </w:rPr>
        <w:t>6</w:t>
      </w:r>
    </w:p>
    <w:p w14:paraId="58CF659B" w14:textId="77777777" w:rsidR="00A87109" w:rsidRPr="00876A31" w:rsidRDefault="00A87109" w:rsidP="00876A31">
      <w:pPr>
        <w:snapToGrid w:val="0"/>
        <w:spacing w:before="40" w:after="40" w:line="360" w:lineRule="exact"/>
        <w:ind w:firstLine="720"/>
        <w:jc w:val="both"/>
        <w:rPr>
          <w:rFonts w:ascii="Times New Roman" w:hAnsi="Times New Roman" w:cs="Times New Roman"/>
          <w:b/>
          <w:color w:val="000000" w:themeColor="text1"/>
          <w:sz w:val="28"/>
          <w:szCs w:val="28"/>
          <w:lang w:eastAsia="zh-CN"/>
        </w:rPr>
      </w:pPr>
    </w:p>
    <w:p w14:paraId="60B200EA" w14:textId="77777777" w:rsidR="005B7F54" w:rsidRPr="00DD4289" w:rsidRDefault="0098678C" w:rsidP="00DD4289">
      <w:pPr>
        <w:snapToGrid w:val="0"/>
        <w:spacing w:before="60" w:after="60" w:line="360" w:lineRule="exact"/>
        <w:ind w:firstLine="720"/>
        <w:jc w:val="both"/>
        <w:rPr>
          <w:rFonts w:ascii="Times New Roman" w:hAnsi="Times New Roman" w:cs="Times New Roman"/>
          <w:b/>
          <w:color w:val="000000" w:themeColor="text1"/>
          <w:sz w:val="28"/>
          <w:szCs w:val="28"/>
        </w:rPr>
      </w:pPr>
      <w:r w:rsidRPr="00DD4289">
        <w:rPr>
          <w:rFonts w:ascii="Times New Roman" w:hAnsi="Times New Roman" w:cs="Times New Roman"/>
          <w:b/>
          <w:color w:val="000000" w:themeColor="text1"/>
          <w:sz w:val="28"/>
          <w:szCs w:val="28"/>
          <w:lang w:val="vi-VN"/>
        </w:rPr>
        <w:t xml:space="preserve">I. </w:t>
      </w:r>
      <w:r w:rsidR="00A76DD2" w:rsidRPr="00DD4289">
        <w:rPr>
          <w:rFonts w:ascii="Times New Roman" w:hAnsi="Times New Roman" w:cs="Times New Roman"/>
          <w:b/>
          <w:color w:val="000000" w:themeColor="text1"/>
          <w:sz w:val="28"/>
          <w:szCs w:val="28"/>
        </w:rPr>
        <w:t xml:space="preserve">Tình hình kinh tế Trung Quốc </w:t>
      </w:r>
      <w:r w:rsidR="00392F9A" w:rsidRPr="00DD4289">
        <w:rPr>
          <w:rFonts w:ascii="Times New Roman" w:hAnsi="Times New Roman" w:cs="Times New Roman"/>
          <w:b/>
          <w:color w:val="000000" w:themeColor="text1"/>
          <w:sz w:val="28"/>
          <w:szCs w:val="28"/>
        </w:rPr>
        <w:t xml:space="preserve"> </w:t>
      </w:r>
    </w:p>
    <w:p w14:paraId="341E95F2" w14:textId="77777777" w:rsidR="005B7F54" w:rsidRPr="00DD4289" w:rsidRDefault="005B7F54" w:rsidP="00DD4289">
      <w:pPr>
        <w:snapToGrid w:val="0"/>
        <w:spacing w:before="60" w:after="60" w:line="360" w:lineRule="exact"/>
        <w:ind w:firstLine="720"/>
        <w:jc w:val="both"/>
        <w:rPr>
          <w:rFonts w:ascii="Times New Roman" w:hAnsi="Times New Roman" w:cs="Times New Roman"/>
          <w:b/>
          <w:sz w:val="28"/>
          <w:szCs w:val="28"/>
        </w:rPr>
      </w:pPr>
      <w:r w:rsidRPr="00DD4289">
        <w:rPr>
          <w:rFonts w:ascii="Times New Roman" w:hAnsi="Times New Roman" w:cs="Times New Roman"/>
          <w:b/>
          <w:sz w:val="28"/>
          <w:szCs w:val="28"/>
        </w:rPr>
        <w:t xml:space="preserve">1. Về tăng trưởng GDP </w:t>
      </w:r>
    </w:p>
    <w:p w14:paraId="001DEC8F" w14:textId="5066E647" w:rsidR="005B7F54" w:rsidRPr="00DD4289" w:rsidRDefault="005B7F54" w:rsidP="00DD4289">
      <w:pPr>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rPr>
        <w:t xml:space="preserve">Trong năm 2025, </w:t>
      </w:r>
      <w:r w:rsidRPr="00DD4289">
        <w:rPr>
          <w:rFonts w:ascii="Times New Roman" w:eastAsia="Times New Roman" w:hAnsi="Times New Roman" w:cs="Times New Roman"/>
          <w:sz w:val="28"/>
          <w:szCs w:val="28"/>
          <w:lang w:val="vi-VN"/>
        </w:rPr>
        <w:t xml:space="preserve">GDP của Trung Quốc đạt 140.187,9 tỷ </w:t>
      </w:r>
      <w:r w:rsidRPr="00DD4289">
        <w:rPr>
          <w:rFonts w:ascii="Times New Roman" w:eastAsia="Times New Roman" w:hAnsi="Times New Roman" w:cs="Times New Roman"/>
          <w:sz w:val="28"/>
          <w:szCs w:val="28"/>
        </w:rPr>
        <w:t>N</w:t>
      </w:r>
      <w:r w:rsidRPr="00DD4289">
        <w:rPr>
          <w:rFonts w:ascii="Times New Roman" w:eastAsia="Times New Roman" w:hAnsi="Times New Roman" w:cs="Times New Roman"/>
          <w:sz w:val="28"/>
          <w:szCs w:val="28"/>
          <w:lang w:val="vi-VN"/>
        </w:rPr>
        <w:t xml:space="preserve">hân dân tệ, tăng </w:t>
      </w:r>
      <w:r w:rsidRPr="00DD4289">
        <w:rPr>
          <w:rFonts w:ascii="Times New Roman" w:eastAsia="Times New Roman" w:hAnsi="Times New Roman" w:cs="Times New Roman"/>
          <w:b/>
          <w:sz w:val="28"/>
          <w:szCs w:val="28"/>
          <w:lang w:val="vi-VN"/>
        </w:rPr>
        <w:t>5%</w:t>
      </w:r>
      <w:r w:rsidRPr="00DD4289">
        <w:rPr>
          <w:rFonts w:ascii="Times New Roman" w:eastAsia="Times New Roman" w:hAnsi="Times New Roman" w:cs="Times New Roman"/>
          <w:sz w:val="28"/>
          <w:szCs w:val="28"/>
          <w:lang w:val="vi-VN"/>
        </w:rPr>
        <w:t xml:space="preserve"> so với năm </w:t>
      </w:r>
      <w:r w:rsidRPr="00DD4289">
        <w:rPr>
          <w:rFonts w:ascii="Times New Roman" w:hAnsi="Times New Roman" w:cs="Times New Roman"/>
          <w:sz w:val="28"/>
          <w:szCs w:val="28"/>
          <w:lang w:val="vi-VN"/>
        </w:rPr>
        <w:t>2024</w:t>
      </w:r>
      <w:r w:rsidRPr="00DD4289">
        <w:rPr>
          <w:rFonts w:ascii="Times New Roman" w:eastAsia="Times New Roman" w:hAnsi="Times New Roman" w:cs="Times New Roman"/>
          <w:sz w:val="28"/>
          <w:szCs w:val="28"/>
          <w:lang w:val="vi-VN"/>
        </w:rPr>
        <w:t xml:space="preserve">. Xét theo quý, tăng trưởng GDP của Trung Quốc lần lượt đạt </w:t>
      </w:r>
      <w:r w:rsidRPr="00DD4289">
        <w:rPr>
          <w:rFonts w:ascii="Times New Roman" w:eastAsia="Times New Roman" w:hAnsi="Times New Roman" w:cs="Times New Roman"/>
          <w:b/>
          <w:sz w:val="28"/>
          <w:szCs w:val="28"/>
          <w:lang w:val="vi-VN"/>
        </w:rPr>
        <w:t>5,4%</w:t>
      </w:r>
      <w:r w:rsidR="00AB0AC8">
        <w:rPr>
          <w:rFonts w:ascii="Times New Roman" w:eastAsia="Times New Roman" w:hAnsi="Times New Roman" w:cs="Times New Roman"/>
          <w:sz w:val="28"/>
          <w:szCs w:val="28"/>
          <w:lang w:val="vi-VN"/>
        </w:rPr>
        <w:t xml:space="preserve"> trong quý I</w:t>
      </w:r>
      <w:r w:rsidR="00AB0AC8" w:rsidRPr="00AB0AC8">
        <w:rPr>
          <w:rFonts w:ascii="Times New Roman" w:eastAsia="Times New Roman" w:hAnsi="Times New Roman" w:cs="Times New Roman"/>
          <w:sz w:val="28"/>
          <w:szCs w:val="28"/>
          <w:lang w:val="vi-VN"/>
        </w:rPr>
        <w:t>;</w:t>
      </w:r>
      <w:r w:rsidRPr="00DD4289">
        <w:rPr>
          <w:rFonts w:ascii="Times New Roman" w:eastAsia="Times New Roman" w:hAnsi="Times New Roman" w:cs="Times New Roman"/>
          <w:sz w:val="28"/>
          <w:szCs w:val="28"/>
          <w:lang w:val="vi-VN"/>
        </w:rPr>
        <w:t xml:space="preserve"> </w:t>
      </w:r>
      <w:r w:rsidRPr="00DD4289">
        <w:rPr>
          <w:rFonts w:ascii="Times New Roman" w:eastAsia="Times New Roman" w:hAnsi="Times New Roman" w:cs="Times New Roman"/>
          <w:b/>
          <w:sz w:val="28"/>
          <w:szCs w:val="28"/>
          <w:lang w:val="vi-VN"/>
        </w:rPr>
        <w:t>5,2%</w:t>
      </w:r>
      <w:r w:rsidR="00AB0AC8">
        <w:rPr>
          <w:rFonts w:ascii="Times New Roman" w:eastAsia="Times New Roman" w:hAnsi="Times New Roman" w:cs="Times New Roman"/>
          <w:sz w:val="28"/>
          <w:szCs w:val="28"/>
          <w:lang w:val="vi-VN"/>
        </w:rPr>
        <w:t xml:space="preserve"> trong quý II</w:t>
      </w:r>
      <w:r w:rsidR="00AB0AC8" w:rsidRPr="00AB0AC8">
        <w:rPr>
          <w:rFonts w:ascii="Times New Roman" w:eastAsia="Times New Roman" w:hAnsi="Times New Roman" w:cs="Times New Roman"/>
          <w:sz w:val="28"/>
          <w:szCs w:val="28"/>
          <w:lang w:val="vi-VN"/>
        </w:rPr>
        <w:t>;</w:t>
      </w:r>
      <w:r w:rsidRPr="00DD4289">
        <w:rPr>
          <w:rFonts w:ascii="Times New Roman" w:eastAsia="Times New Roman" w:hAnsi="Times New Roman" w:cs="Times New Roman"/>
          <w:sz w:val="28"/>
          <w:szCs w:val="28"/>
          <w:lang w:val="vi-VN"/>
        </w:rPr>
        <w:t xml:space="preserve"> </w:t>
      </w:r>
      <w:r w:rsidRPr="00DD4289">
        <w:rPr>
          <w:rFonts w:ascii="Times New Roman" w:eastAsia="Times New Roman" w:hAnsi="Times New Roman" w:cs="Times New Roman"/>
          <w:b/>
          <w:sz w:val="28"/>
          <w:szCs w:val="28"/>
          <w:lang w:val="vi-VN"/>
        </w:rPr>
        <w:t>4,8%</w:t>
      </w:r>
      <w:r w:rsidRPr="00DD4289">
        <w:rPr>
          <w:rFonts w:ascii="Times New Roman" w:eastAsia="Times New Roman" w:hAnsi="Times New Roman" w:cs="Times New Roman"/>
          <w:sz w:val="28"/>
          <w:szCs w:val="28"/>
          <w:lang w:val="vi-VN"/>
        </w:rPr>
        <w:t xml:space="preserve"> trong quý III và </w:t>
      </w:r>
      <w:r w:rsidRPr="00DD4289">
        <w:rPr>
          <w:rFonts w:ascii="Times New Roman" w:eastAsia="Times New Roman" w:hAnsi="Times New Roman" w:cs="Times New Roman"/>
          <w:b/>
          <w:sz w:val="28"/>
          <w:szCs w:val="28"/>
          <w:lang w:val="vi-VN"/>
        </w:rPr>
        <w:t>4,5%</w:t>
      </w:r>
      <w:r w:rsidRPr="00DD4289">
        <w:rPr>
          <w:rFonts w:ascii="Times New Roman" w:eastAsia="Times New Roman" w:hAnsi="Times New Roman" w:cs="Times New Roman"/>
          <w:sz w:val="28"/>
          <w:szCs w:val="28"/>
          <w:lang w:val="vi-VN"/>
        </w:rPr>
        <w:t xml:space="preserve"> trong quý IV. </w:t>
      </w:r>
    </w:p>
    <w:p w14:paraId="402810ED" w14:textId="472F21B1" w:rsidR="00EE6D91" w:rsidRPr="00DD4289" w:rsidRDefault="00AB445F" w:rsidP="00DD4289">
      <w:pPr>
        <w:spacing w:before="60" w:after="60" w:line="360" w:lineRule="exact"/>
        <w:ind w:firstLine="720"/>
        <w:jc w:val="both"/>
        <w:rPr>
          <w:rFonts w:ascii="Times New Roman" w:hAnsi="Times New Roman" w:cs="Times New Roman"/>
          <w:noProof/>
          <w:sz w:val="28"/>
          <w:szCs w:val="28"/>
          <w:lang w:val="vi-VN"/>
        </w:rPr>
      </w:pPr>
      <w:r w:rsidRPr="00DD4289">
        <w:rPr>
          <w:rFonts w:ascii="Times New Roman" w:eastAsia="Times New Roman" w:hAnsi="Times New Roman" w:cs="Times New Roman"/>
          <w:sz w:val="28"/>
          <w:szCs w:val="28"/>
          <w:lang w:val="vi-VN"/>
        </w:rPr>
        <w:t>Tính đến hết năm</w:t>
      </w:r>
      <w:r w:rsidR="00D34E70" w:rsidRPr="00DD4289">
        <w:rPr>
          <w:rFonts w:ascii="Times New Roman" w:eastAsia="Times New Roman" w:hAnsi="Times New Roman" w:cs="Times New Roman"/>
          <w:sz w:val="28"/>
          <w:szCs w:val="28"/>
          <w:lang w:val="vi-VN"/>
        </w:rPr>
        <w:t xml:space="preserve"> 2025, Trung Quốc có 28 thành phố có GDP đạt hơn </w:t>
      </w:r>
      <w:r w:rsidR="00EE6D91" w:rsidRPr="00DD4289">
        <w:rPr>
          <w:rFonts w:ascii="Times New Roman" w:hAnsi="Times New Roman" w:cs="Times New Roman"/>
          <w:noProof/>
          <w:sz w:val="28"/>
          <w:szCs w:val="28"/>
          <w:lang w:val="vi-VN"/>
        </w:rPr>
        <w:t xml:space="preserve">1.000 tỷ Nhân dân tệ (khoảng 140 tỷ USD) bao gồm: </w:t>
      </w:r>
    </w:p>
    <w:p w14:paraId="258F2409" w14:textId="77777777" w:rsidR="00D34E70" w:rsidRPr="00DD4289" w:rsidRDefault="00D34E70" w:rsidP="00DD4289">
      <w:pPr>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hAnsi="Times New Roman" w:cs="Times New Roman"/>
          <w:noProof/>
          <w:sz w:val="28"/>
          <w:szCs w:val="28"/>
          <w:lang w:val="vi-VN"/>
        </w:rPr>
        <w:t xml:space="preserve">(i) </w:t>
      </w:r>
      <w:r w:rsidR="00EE6D91" w:rsidRPr="00DD4289">
        <w:rPr>
          <w:rFonts w:ascii="Times New Roman" w:hAnsi="Times New Roman" w:cs="Times New Roman"/>
          <w:noProof/>
          <w:sz w:val="28"/>
          <w:szCs w:val="28"/>
          <w:lang w:val="vi-VN"/>
        </w:rPr>
        <w:t>04 Thành phố trực thuộc Trung ương: Bắc Kinh, Thượng Hải, Thiên Tân, Trùng Khánh.</w:t>
      </w:r>
    </w:p>
    <w:p w14:paraId="3D501B23" w14:textId="6409C15D" w:rsidR="00D34E70" w:rsidRPr="00DD4289" w:rsidRDefault="00D34E70" w:rsidP="00DD4289">
      <w:pPr>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(ii) </w:t>
      </w:r>
      <w:r w:rsidR="00AB0AC8">
        <w:rPr>
          <w:rFonts w:ascii="Times New Roman" w:hAnsi="Times New Roman" w:cs="Times New Roman"/>
          <w:noProof/>
          <w:sz w:val="28"/>
          <w:szCs w:val="28"/>
          <w:lang w:val="vi-VN"/>
        </w:rPr>
        <w:t xml:space="preserve">11 </w:t>
      </w:r>
      <w:r w:rsidR="00AB0AC8" w:rsidRPr="00AB0AC8">
        <w:rPr>
          <w:rFonts w:ascii="Times New Roman" w:hAnsi="Times New Roman" w:cs="Times New Roman"/>
          <w:noProof/>
          <w:sz w:val="28"/>
          <w:szCs w:val="28"/>
          <w:lang w:val="vi-VN"/>
        </w:rPr>
        <w:t>t</w:t>
      </w:r>
      <w:r w:rsidR="00EE6D91" w:rsidRPr="00DD4289">
        <w:rPr>
          <w:rFonts w:ascii="Times New Roman" w:hAnsi="Times New Roman" w:cs="Times New Roman"/>
          <w:noProof/>
          <w:sz w:val="28"/>
          <w:szCs w:val="28"/>
          <w:lang w:val="vi-VN"/>
        </w:rPr>
        <w:t>hủ phủ thuộc tỉnh: Quảng Châu (Quảng Đông), Thành Đô (Tứ Xuyên), Hàng Châu (Chiết Giang), Vũ Hán (Hồ Bắc), Nam Kinh (Giang Tô), Trường Sa (Hồ Nam), Trịnh Châu (Hà Nam), Phúc Châu (Phúc Kiến), Tế Nam (Sơn Đông), Hợp Phì (An Huy), Tây An (Thiểm Tây).</w:t>
      </w:r>
    </w:p>
    <w:p w14:paraId="12180FEF" w14:textId="4DCA809D" w:rsidR="00EE6D91" w:rsidRPr="00DD4289" w:rsidRDefault="00D34E70" w:rsidP="00DD4289">
      <w:pPr>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(iii) </w:t>
      </w:r>
      <w:r w:rsidR="00AB0AC8">
        <w:rPr>
          <w:rFonts w:ascii="Times New Roman" w:hAnsi="Times New Roman" w:cs="Times New Roman"/>
          <w:noProof/>
          <w:sz w:val="28"/>
          <w:szCs w:val="28"/>
          <w:lang w:val="vi-VN"/>
        </w:rPr>
        <w:t xml:space="preserve">13 </w:t>
      </w:r>
      <w:r w:rsidR="00AB0AC8" w:rsidRPr="00F878C3">
        <w:rPr>
          <w:rFonts w:ascii="Times New Roman" w:hAnsi="Times New Roman" w:cs="Times New Roman"/>
          <w:noProof/>
          <w:sz w:val="28"/>
          <w:szCs w:val="28"/>
          <w:lang w:val="vi-VN"/>
        </w:rPr>
        <w:t>t</w:t>
      </w:r>
      <w:r w:rsidR="00EE6D91" w:rsidRPr="00DD4289">
        <w:rPr>
          <w:rFonts w:ascii="Times New Roman" w:hAnsi="Times New Roman" w:cs="Times New Roman"/>
          <w:noProof/>
          <w:sz w:val="28"/>
          <w:szCs w:val="28"/>
          <w:lang w:val="vi-VN"/>
        </w:rPr>
        <w:t>hành phố thuộc tỉnh: Thâm Quyến</w:t>
      </w:r>
      <w:r w:rsidR="003E1A10" w:rsidRPr="003E1A10">
        <w:rPr>
          <w:rFonts w:ascii="Times New Roman" w:hAnsi="Times New Roman" w:cs="Times New Roman"/>
          <w:noProof/>
          <w:sz w:val="28"/>
          <w:szCs w:val="28"/>
          <w:lang w:val="vi-VN"/>
        </w:rPr>
        <w:t xml:space="preserve">, </w:t>
      </w:r>
      <w:r w:rsidR="003E1A10" w:rsidRPr="00DD4289">
        <w:rPr>
          <w:rFonts w:ascii="Times New Roman" w:hAnsi="Times New Roman" w:cs="Times New Roman"/>
          <w:noProof/>
          <w:sz w:val="28"/>
          <w:szCs w:val="28"/>
          <w:lang w:val="vi-VN"/>
        </w:rPr>
        <w:t>Phật Sơn</w:t>
      </w:r>
      <w:r w:rsidR="003E1A10" w:rsidRPr="003E1A10">
        <w:rPr>
          <w:rFonts w:ascii="Times New Roman" w:hAnsi="Times New Roman" w:cs="Times New Roman"/>
          <w:noProof/>
          <w:sz w:val="28"/>
          <w:szCs w:val="28"/>
          <w:lang w:val="vi-VN"/>
        </w:rPr>
        <w:t xml:space="preserve">, </w:t>
      </w:r>
      <w:r w:rsidR="003E1A10">
        <w:rPr>
          <w:rFonts w:ascii="Times New Roman" w:hAnsi="Times New Roman" w:cs="Times New Roman"/>
          <w:noProof/>
          <w:sz w:val="28"/>
          <w:szCs w:val="28"/>
          <w:lang w:val="vi-VN"/>
        </w:rPr>
        <w:t>Đông Qu</w:t>
      </w:r>
      <w:r w:rsidR="003E1A10" w:rsidRPr="00566B21">
        <w:rPr>
          <w:rFonts w:ascii="Times New Roman" w:hAnsi="Times New Roman" w:cs="Times New Roman"/>
          <w:noProof/>
          <w:sz w:val="28"/>
          <w:szCs w:val="28"/>
          <w:lang w:val="vi-VN"/>
        </w:rPr>
        <w:t>ản</w:t>
      </w:r>
      <w:r w:rsidR="00EE6D91" w:rsidRPr="00DD4289">
        <w:rPr>
          <w:rFonts w:ascii="Times New Roman" w:hAnsi="Times New Roman" w:cs="Times New Roman"/>
          <w:noProof/>
          <w:sz w:val="28"/>
          <w:szCs w:val="28"/>
          <w:lang w:val="vi-VN"/>
        </w:rPr>
        <w:t xml:space="preserve"> (Quảng Đông), Ninh Ba</w:t>
      </w:r>
      <w:r w:rsidR="003E1A10" w:rsidRPr="003E1A10">
        <w:rPr>
          <w:rFonts w:ascii="Times New Roman" w:hAnsi="Times New Roman" w:cs="Times New Roman"/>
          <w:noProof/>
          <w:sz w:val="28"/>
          <w:szCs w:val="28"/>
          <w:lang w:val="vi-VN"/>
        </w:rPr>
        <w:t xml:space="preserve">, </w:t>
      </w:r>
      <w:r w:rsidR="003E1A10" w:rsidRPr="00DD4289">
        <w:rPr>
          <w:rFonts w:ascii="Times New Roman" w:hAnsi="Times New Roman" w:cs="Times New Roman"/>
          <w:noProof/>
          <w:sz w:val="28"/>
          <w:szCs w:val="28"/>
          <w:lang w:val="vi-VN"/>
        </w:rPr>
        <w:t>Ôn Châu</w:t>
      </w:r>
      <w:r w:rsidR="00EE6D91" w:rsidRPr="00DD4289">
        <w:rPr>
          <w:rFonts w:ascii="Times New Roman" w:hAnsi="Times New Roman" w:cs="Times New Roman"/>
          <w:noProof/>
          <w:sz w:val="28"/>
          <w:szCs w:val="28"/>
          <w:lang w:val="vi-VN"/>
        </w:rPr>
        <w:t xml:space="preserve"> (Chiết Giang), Thanh Đả</w:t>
      </w:r>
      <w:r w:rsidR="00F878C3">
        <w:rPr>
          <w:rFonts w:ascii="Times New Roman" w:hAnsi="Times New Roman" w:cs="Times New Roman"/>
          <w:noProof/>
          <w:sz w:val="28"/>
          <w:szCs w:val="28"/>
          <w:lang w:val="vi-VN"/>
        </w:rPr>
        <w:t>o</w:t>
      </w:r>
      <w:r w:rsidR="003E1A10" w:rsidRPr="003E1A10">
        <w:rPr>
          <w:rFonts w:ascii="Times New Roman" w:hAnsi="Times New Roman" w:cs="Times New Roman"/>
          <w:noProof/>
          <w:sz w:val="28"/>
          <w:szCs w:val="28"/>
          <w:lang w:val="vi-VN"/>
        </w:rPr>
        <w:t xml:space="preserve">, </w:t>
      </w:r>
      <w:r w:rsidR="003E1A10" w:rsidRPr="00DD4289">
        <w:rPr>
          <w:rFonts w:ascii="Times New Roman" w:hAnsi="Times New Roman" w:cs="Times New Roman"/>
          <w:noProof/>
          <w:sz w:val="28"/>
          <w:szCs w:val="28"/>
          <w:lang w:val="vi-VN"/>
        </w:rPr>
        <w:t>Yên Đài</w:t>
      </w:r>
      <w:r w:rsidR="00F878C3">
        <w:rPr>
          <w:rFonts w:ascii="Times New Roman" w:hAnsi="Times New Roman" w:cs="Times New Roman"/>
          <w:noProof/>
          <w:sz w:val="28"/>
          <w:szCs w:val="28"/>
          <w:lang w:val="vi-VN"/>
        </w:rPr>
        <w:t xml:space="preserve"> (Sơn Đông), </w:t>
      </w:r>
      <w:r w:rsidR="00EE6D91" w:rsidRPr="00DD4289">
        <w:rPr>
          <w:rFonts w:ascii="Times New Roman" w:hAnsi="Times New Roman" w:cs="Times New Roman"/>
          <w:noProof/>
          <w:sz w:val="28"/>
          <w:szCs w:val="28"/>
          <w:lang w:val="vi-VN"/>
        </w:rPr>
        <w:t>Tô Châu, Vô Tích</w:t>
      </w:r>
      <w:r w:rsidR="003E1A10" w:rsidRPr="003E1A10">
        <w:rPr>
          <w:rFonts w:ascii="Times New Roman" w:hAnsi="Times New Roman" w:cs="Times New Roman"/>
          <w:noProof/>
          <w:sz w:val="28"/>
          <w:szCs w:val="28"/>
          <w:lang w:val="vi-VN"/>
        </w:rPr>
        <w:t xml:space="preserve">, </w:t>
      </w:r>
      <w:r w:rsidR="003E1A10" w:rsidRPr="00DD4289">
        <w:rPr>
          <w:rFonts w:ascii="Times New Roman" w:hAnsi="Times New Roman" w:cs="Times New Roman"/>
          <w:noProof/>
          <w:sz w:val="28"/>
          <w:szCs w:val="28"/>
          <w:lang w:val="vi-VN"/>
        </w:rPr>
        <w:t>Nam Thông, Thườ</w:t>
      </w:r>
      <w:r w:rsidR="003E1A10">
        <w:rPr>
          <w:rFonts w:ascii="Times New Roman" w:hAnsi="Times New Roman" w:cs="Times New Roman"/>
          <w:noProof/>
          <w:sz w:val="28"/>
          <w:szCs w:val="28"/>
          <w:lang w:val="vi-VN"/>
        </w:rPr>
        <w:t>ng Châu</w:t>
      </w:r>
      <w:r w:rsidR="00EE6D91" w:rsidRPr="00DD4289">
        <w:rPr>
          <w:rFonts w:ascii="Times New Roman" w:hAnsi="Times New Roman" w:cs="Times New Roman"/>
          <w:noProof/>
          <w:sz w:val="28"/>
          <w:szCs w:val="28"/>
          <w:lang w:val="vi-VN"/>
        </w:rPr>
        <w:t xml:space="preserve"> (Giang Tô), Tuyền Châu (Phúc Kiến), Đường Sơn (Hà Bắ</w:t>
      </w:r>
      <w:r w:rsidR="003E1A10">
        <w:rPr>
          <w:rFonts w:ascii="Times New Roman" w:hAnsi="Times New Roman" w:cs="Times New Roman"/>
          <w:noProof/>
          <w:sz w:val="28"/>
          <w:szCs w:val="28"/>
          <w:lang w:val="vi-VN"/>
        </w:rPr>
        <w:t>c)</w:t>
      </w:r>
      <w:r w:rsidR="00EE6D91" w:rsidRPr="00DD4289">
        <w:rPr>
          <w:rFonts w:ascii="Times New Roman" w:hAnsi="Times New Roman" w:cs="Times New Roman"/>
          <w:noProof/>
          <w:sz w:val="28"/>
          <w:szCs w:val="28"/>
          <w:lang w:val="vi-VN"/>
        </w:rPr>
        <w:t>.</w:t>
      </w:r>
    </w:p>
    <w:p w14:paraId="1B1DA375" w14:textId="77777777" w:rsidR="005B7F54" w:rsidRPr="00566B21" w:rsidRDefault="005B7F54" w:rsidP="00DD4289">
      <w:pPr>
        <w:snapToGrid w:val="0"/>
        <w:spacing w:before="60" w:after="60" w:line="360" w:lineRule="exact"/>
        <w:ind w:firstLine="720"/>
        <w:jc w:val="both"/>
        <w:rPr>
          <w:rFonts w:ascii="Times New Roman" w:hAnsi="Times New Roman" w:cs="Times New Roman"/>
          <w:b/>
          <w:sz w:val="28"/>
          <w:szCs w:val="28"/>
          <w:lang w:val="vi-VN"/>
        </w:rPr>
      </w:pPr>
      <w:r w:rsidRPr="00DD4289">
        <w:rPr>
          <w:rFonts w:ascii="Times New Roman" w:hAnsi="Times New Roman" w:cs="Times New Roman"/>
          <w:b/>
          <w:sz w:val="28"/>
          <w:szCs w:val="28"/>
          <w:lang w:val="vi-VN"/>
        </w:rPr>
        <w:t>2. Về tiêu dùng</w:t>
      </w:r>
    </w:p>
    <w:p w14:paraId="39703F33" w14:textId="78438A10" w:rsidR="00DC1C8E" w:rsidRPr="00566B21" w:rsidRDefault="001E25BB" w:rsidP="00DD4289">
      <w:pPr>
        <w:shd w:val="clear" w:color="auto" w:fill="FFFFFF"/>
        <w:spacing w:before="60" w:after="60" w:line="360" w:lineRule="exact"/>
        <w:ind w:firstLine="720"/>
        <w:jc w:val="both"/>
        <w:rPr>
          <w:rFonts w:ascii="Times New Roman" w:eastAsia="Times New Roman" w:hAnsi="Times New Roman" w:cs="Times New Roman"/>
          <w:sz w:val="28"/>
          <w:szCs w:val="28"/>
          <w:lang w:val="vi-VN"/>
        </w:rPr>
      </w:pPr>
      <w:r w:rsidRPr="00566B21">
        <w:rPr>
          <w:rFonts w:ascii="Times New Roman" w:eastAsia="Times New Roman" w:hAnsi="Times New Roman" w:cs="Times New Roman"/>
          <w:sz w:val="28"/>
          <w:szCs w:val="28"/>
          <w:lang w:val="vi-VN"/>
        </w:rPr>
        <w:t xml:space="preserve">Trong năm 2025, tổng doanh thu bán lẻ hàng tiêu dùng đạt 50.120,2 tỷ Nhân dân tệ, tăng 3,7% so với năm 2024. </w:t>
      </w:r>
      <w:r w:rsidR="00DC1C8E" w:rsidRPr="00566B21">
        <w:rPr>
          <w:rFonts w:ascii="Times New Roman" w:eastAsia="Times New Roman" w:hAnsi="Times New Roman" w:cs="Times New Roman"/>
          <w:sz w:val="28"/>
          <w:szCs w:val="28"/>
          <w:lang w:val="vi-VN"/>
        </w:rPr>
        <w:t>Doanh thu bán lẻ trực t</w:t>
      </w:r>
      <w:r w:rsidR="003E1A10">
        <w:rPr>
          <w:rFonts w:ascii="Times New Roman" w:eastAsia="Times New Roman" w:hAnsi="Times New Roman" w:cs="Times New Roman"/>
          <w:sz w:val="28"/>
          <w:szCs w:val="28"/>
          <w:lang w:val="vi-VN"/>
        </w:rPr>
        <w:t xml:space="preserve">uyến toàn quốc đạt 15.972,2 tỷ </w:t>
      </w:r>
      <w:r w:rsidR="003E1A10" w:rsidRPr="00221D10">
        <w:rPr>
          <w:rFonts w:ascii="Times New Roman" w:eastAsia="Times New Roman" w:hAnsi="Times New Roman" w:cs="Times New Roman"/>
          <w:sz w:val="28"/>
          <w:szCs w:val="28"/>
          <w:lang w:val="vi-VN"/>
        </w:rPr>
        <w:t>N</w:t>
      </w:r>
      <w:r w:rsidR="00DC1C8E" w:rsidRPr="00566B21">
        <w:rPr>
          <w:rFonts w:ascii="Times New Roman" w:eastAsia="Times New Roman" w:hAnsi="Times New Roman" w:cs="Times New Roman"/>
          <w:sz w:val="28"/>
          <w:szCs w:val="28"/>
          <w:lang w:val="vi-VN"/>
        </w:rPr>
        <w:t>hân dâ</w:t>
      </w:r>
      <w:r w:rsidR="00221D10">
        <w:rPr>
          <w:rFonts w:ascii="Times New Roman" w:eastAsia="Times New Roman" w:hAnsi="Times New Roman" w:cs="Times New Roman"/>
          <w:sz w:val="28"/>
          <w:szCs w:val="28"/>
          <w:lang w:val="vi-VN"/>
        </w:rPr>
        <w:t xml:space="preserve">n tệ, tăng 8,6% so với năm </w:t>
      </w:r>
      <w:r w:rsidR="00221D10" w:rsidRPr="00D72734">
        <w:rPr>
          <w:rFonts w:ascii="Times New Roman" w:eastAsia="Times New Roman" w:hAnsi="Times New Roman" w:cs="Times New Roman"/>
          <w:sz w:val="28"/>
          <w:szCs w:val="28"/>
          <w:lang w:val="vi-VN"/>
        </w:rPr>
        <w:t>2024</w:t>
      </w:r>
      <w:r w:rsidR="00DC1C8E" w:rsidRPr="00566B21">
        <w:rPr>
          <w:rFonts w:ascii="Times New Roman" w:eastAsia="Times New Roman" w:hAnsi="Times New Roman" w:cs="Times New Roman"/>
          <w:sz w:val="28"/>
          <w:szCs w:val="28"/>
          <w:lang w:val="vi-VN"/>
        </w:rPr>
        <w:t>. Trong đó, doanh thu bán lẻ trực tuyến h</w:t>
      </w:r>
      <w:r w:rsidR="0011775E" w:rsidRPr="00566B21">
        <w:rPr>
          <w:rFonts w:ascii="Times New Roman" w:eastAsia="Times New Roman" w:hAnsi="Times New Roman" w:cs="Times New Roman"/>
          <w:sz w:val="28"/>
          <w:szCs w:val="28"/>
          <w:lang w:val="vi-VN"/>
        </w:rPr>
        <w:t>àng hóa vật lý đạt 13.092,3 tỷ N</w:t>
      </w:r>
      <w:r w:rsidR="00DC1C8E" w:rsidRPr="00566B21">
        <w:rPr>
          <w:rFonts w:ascii="Times New Roman" w:eastAsia="Times New Roman" w:hAnsi="Times New Roman" w:cs="Times New Roman"/>
          <w:sz w:val="28"/>
          <w:szCs w:val="28"/>
          <w:lang w:val="vi-VN"/>
        </w:rPr>
        <w:t xml:space="preserve">hân dân tệ, tăng 5,2%, chiếm 26,1% tổng doanh thu bán lẻ hàng tiêu dùng. </w:t>
      </w:r>
    </w:p>
    <w:p w14:paraId="228CA2D7" w14:textId="187159EE" w:rsidR="001E25BB" w:rsidRPr="00566B21" w:rsidRDefault="001E25BB" w:rsidP="00DD4289">
      <w:pPr>
        <w:shd w:val="clear" w:color="auto" w:fill="FFFFFF"/>
        <w:spacing w:before="60" w:after="60" w:line="360" w:lineRule="exact"/>
        <w:ind w:firstLine="720"/>
        <w:jc w:val="both"/>
        <w:rPr>
          <w:rFonts w:ascii="Times New Roman" w:eastAsia="Times New Roman" w:hAnsi="Times New Roman" w:cs="Times New Roman"/>
          <w:sz w:val="28"/>
          <w:szCs w:val="28"/>
          <w:lang w:val="vi-VN"/>
        </w:rPr>
      </w:pPr>
      <w:r w:rsidRPr="00566B21">
        <w:rPr>
          <w:rFonts w:ascii="Times New Roman" w:eastAsia="Times New Roman" w:hAnsi="Times New Roman" w:cs="Times New Roman"/>
          <w:sz w:val="28"/>
          <w:szCs w:val="28"/>
          <w:lang w:val="vi-VN"/>
        </w:rPr>
        <w:t>Xét theo loại hình tiêu dùng, doanh thu</w:t>
      </w:r>
      <w:r w:rsidR="00DC1C8E" w:rsidRPr="00566B21">
        <w:rPr>
          <w:rFonts w:ascii="Times New Roman" w:eastAsia="Times New Roman" w:hAnsi="Times New Roman" w:cs="Times New Roman"/>
          <w:sz w:val="28"/>
          <w:szCs w:val="28"/>
          <w:lang w:val="vi-VN"/>
        </w:rPr>
        <w:t xml:space="preserve"> bán lẻ hàng hóa đạt 44.322 tỷ N</w:t>
      </w:r>
      <w:r w:rsidRPr="00566B21">
        <w:rPr>
          <w:rFonts w:ascii="Times New Roman" w:eastAsia="Times New Roman" w:hAnsi="Times New Roman" w:cs="Times New Roman"/>
          <w:sz w:val="28"/>
          <w:szCs w:val="28"/>
          <w:lang w:val="vi-VN"/>
        </w:rPr>
        <w:t xml:space="preserve">hân dân tệ, tăng 3,8%; doanh thu </w:t>
      </w:r>
      <w:r w:rsidR="00DC1C8E" w:rsidRPr="00566B21">
        <w:rPr>
          <w:rFonts w:ascii="Times New Roman" w:eastAsia="Times New Roman" w:hAnsi="Times New Roman" w:cs="Times New Roman"/>
          <w:sz w:val="28"/>
          <w:szCs w:val="28"/>
          <w:lang w:val="vi-VN"/>
        </w:rPr>
        <w:t>dịch vụ ăn uống đạt 5.798,2 tỷ N</w:t>
      </w:r>
      <w:r w:rsidRPr="00566B21">
        <w:rPr>
          <w:rFonts w:ascii="Times New Roman" w:eastAsia="Times New Roman" w:hAnsi="Times New Roman" w:cs="Times New Roman"/>
          <w:sz w:val="28"/>
          <w:szCs w:val="28"/>
          <w:lang w:val="vi-VN"/>
        </w:rPr>
        <w:t>hân dân tệ, tăng 3,2%.</w:t>
      </w:r>
      <w:r w:rsidR="00DC1C8E" w:rsidRPr="00566B21">
        <w:rPr>
          <w:rFonts w:ascii="Times New Roman" w:eastAsia="Times New Roman" w:hAnsi="Times New Roman" w:cs="Times New Roman"/>
          <w:sz w:val="28"/>
          <w:szCs w:val="28"/>
          <w:lang w:val="vi-VN"/>
        </w:rPr>
        <w:t xml:space="preserve"> </w:t>
      </w:r>
    </w:p>
    <w:p w14:paraId="23F20704" w14:textId="28A089F0" w:rsidR="005B7F54" w:rsidRPr="00566B21" w:rsidRDefault="005B7F54" w:rsidP="00DD4289">
      <w:pPr>
        <w:snapToGrid w:val="0"/>
        <w:spacing w:before="60" w:after="60" w:line="360" w:lineRule="exact"/>
        <w:ind w:firstLine="720"/>
        <w:jc w:val="both"/>
        <w:rPr>
          <w:rFonts w:ascii="Times New Roman" w:hAnsi="Times New Roman" w:cs="Times New Roman"/>
          <w:b/>
          <w:sz w:val="28"/>
          <w:szCs w:val="28"/>
          <w:lang w:val="vi-VN"/>
        </w:rPr>
      </w:pPr>
      <w:r w:rsidRPr="00DD4289">
        <w:rPr>
          <w:rFonts w:ascii="Times New Roman" w:hAnsi="Times New Roman" w:cs="Times New Roman"/>
          <w:b/>
          <w:sz w:val="28"/>
          <w:szCs w:val="28"/>
          <w:lang w:val="vi-VN"/>
        </w:rPr>
        <w:t>3. Về sả</w:t>
      </w:r>
      <w:r w:rsidR="001574DB" w:rsidRPr="00DD4289">
        <w:rPr>
          <w:rFonts w:ascii="Times New Roman" w:hAnsi="Times New Roman" w:cs="Times New Roman"/>
          <w:b/>
          <w:sz w:val="28"/>
          <w:szCs w:val="28"/>
          <w:lang w:val="vi-VN"/>
        </w:rPr>
        <w:t xml:space="preserve">n </w:t>
      </w:r>
      <w:r w:rsidR="001574DB" w:rsidRPr="00566B21">
        <w:rPr>
          <w:rFonts w:ascii="Times New Roman" w:hAnsi="Times New Roman" w:cs="Times New Roman"/>
          <w:b/>
          <w:sz w:val="28"/>
          <w:szCs w:val="28"/>
          <w:lang w:val="vi-VN"/>
        </w:rPr>
        <w:t xml:space="preserve">xuất </w:t>
      </w:r>
      <w:r w:rsidRPr="00DD4289">
        <w:rPr>
          <w:rFonts w:ascii="Times New Roman" w:hAnsi="Times New Roman" w:cs="Times New Roman"/>
          <w:b/>
          <w:sz w:val="28"/>
          <w:szCs w:val="28"/>
          <w:lang w:val="vi-VN"/>
        </w:rPr>
        <w:t xml:space="preserve"> công nghiệp </w:t>
      </w:r>
    </w:p>
    <w:p w14:paraId="6B90CFCA" w14:textId="5BBBD2C1" w:rsidR="001574DB" w:rsidRPr="00566B21" w:rsidRDefault="001574DB"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566B21">
        <w:rPr>
          <w:rFonts w:ascii="Times New Roman" w:hAnsi="Times New Roman" w:cs="Times New Roman"/>
          <w:sz w:val="28"/>
          <w:szCs w:val="28"/>
          <w:lang w:val="vi-VN"/>
        </w:rPr>
        <w:t xml:space="preserve">Trong năm 2025, giá trị gia tăng của các ngành công nghiệp quy mô lớn </w:t>
      </w:r>
      <w:r w:rsidRPr="00566B21">
        <w:rPr>
          <w:rFonts w:ascii="Times New Roman" w:eastAsia="Times New Roman" w:hAnsi="Times New Roman" w:cs="Times New Roman"/>
          <w:sz w:val="28"/>
          <w:szCs w:val="28"/>
          <w:lang w:val="vi-VN"/>
        </w:rPr>
        <w:t xml:space="preserve">tăng 5,9% so với năm 2024. Xét theo 03 lĩnh vực lớn, giá trị gia tăng của ngành khai khoáng tăng 5,6%, </w:t>
      </w:r>
      <w:r w:rsidRPr="00566B21">
        <w:rPr>
          <w:rFonts w:ascii="Times New Roman" w:hAnsi="Times New Roman" w:cs="Times New Roman"/>
          <w:sz w:val="28"/>
          <w:szCs w:val="28"/>
          <w:lang w:val="vi-VN"/>
        </w:rPr>
        <w:t xml:space="preserve">ngành </w:t>
      </w:r>
      <w:r w:rsidRPr="00566B21">
        <w:rPr>
          <w:rFonts w:ascii="Times New Roman" w:eastAsia="Times New Roman" w:hAnsi="Times New Roman" w:cs="Times New Roman"/>
          <w:sz w:val="28"/>
          <w:szCs w:val="28"/>
          <w:lang w:val="vi-VN"/>
        </w:rPr>
        <w:t>chế tạ</w:t>
      </w:r>
      <w:r w:rsidR="00640266" w:rsidRPr="00566B21">
        <w:rPr>
          <w:rFonts w:ascii="Times New Roman" w:eastAsia="Times New Roman" w:hAnsi="Times New Roman" w:cs="Times New Roman"/>
          <w:sz w:val="28"/>
          <w:szCs w:val="28"/>
          <w:lang w:val="vi-VN"/>
        </w:rPr>
        <w:t>o tăng 6,4%,</w:t>
      </w:r>
      <w:r w:rsidRPr="00566B21">
        <w:rPr>
          <w:rFonts w:ascii="Times New Roman" w:eastAsia="Times New Roman" w:hAnsi="Times New Roman" w:cs="Times New Roman"/>
          <w:sz w:val="28"/>
          <w:szCs w:val="28"/>
          <w:lang w:val="vi-VN"/>
        </w:rPr>
        <w:t xml:space="preserve"> </w:t>
      </w:r>
      <w:r w:rsidRPr="00566B21">
        <w:rPr>
          <w:rFonts w:ascii="Times New Roman" w:hAnsi="Times New Roman" w:cs="Times New Roman"/>
          <w:sz w:val="28"/>
          <w:szCs w:val="28"/>
          <w:lang w:val="vi-VN"/>
        </w:rPr>
        <w:t xml:space="preserve">ngành </w:t>
      </w:r>
      <w:r w:rsidRPr="00566B21">
        <w:rPr>
          <w:rFonts w:ascii="Times New Roman" w:eastAsia="Times New Roman" w:hAnsi="Times New Roman" w:cs="Times New Roman"/>
          <w:sz w:val="28"/>
          <w:szCs w:val="28"/>
          <w:lang w:val="vi-VN"/>
        </w:rPr>
        <w:t>sản xuất và cung ứng điện, nhiệt, khí và nước tăng 2,3%. Giá trị gia tăng n</w:t>
      </w:r>
      <w:r w:rsidR="00640266" w:rsidRPr="00566B21">
        <w:rPr>
          <w:rFonts w:ascii="Times New Roman" w:eastAsia="Times New Roman" w:hAnsi="Times New Roman" w:cs="Times New Roman"/>
          <w:sz w:val="28"/>
          <w:szCs w:val="28"/>
          <w:lang w:val="vi-VN"/>
        </w:rPr>
        <w:t xml:space="preserve">gành chế tạo thiết bị tăng </w:t>
      </w:r>
      <w:r w:rsidR="00640266" w:rsidRPr="00566B21">
        <w:rPr>
          <w:rFonts w:ascii="Times New Roman" w:eastAsia="Times New Roman" w:hAnsi="Times New Roman" w:cs="Times New Roman"/>
          <w:sz w:val="28"/>
          <w:szCs w:val="28"/>
          <w:lang w:val="vi-VN"/>
        </w:rPr>
        <w:lastRenderedPageBreak/>
        <w:t>9,2%,</w:t>
      </w:r>
      <w:r w:rsidRPr="00566B21">
        <w:rPr>
          <w:rFonts w:ascii="Times New Roman" w:eastAsia="Times New Roman" w:hAnsi="Times New Roman" w:cs="Times New Roman"/>
          <w:sz w:val="28"/>
          <w:szCs w:val="28"/>
          <w:lang w:val="vi-VN"/>
        </w:rPr>
        <w:t xml:space="preserve"> chế tạo công nghệ cao tăng 9,4%, lần lượt cao hơn mức tăng của </w:t>
      </w:r>
      <w:r w:rsidR="00640266" w:rsidRPr="00566B21">
        <w:rPr>
          <w:rFonts w:ascii="Times New Roman" w:eastAsia="Times New Roman" w:hAnsi="Times New Roman" w:cs="Times New Roman"/>
          <w:sz w:val="28"/>
          <w:szCs w:val="28"/>
          <w:lang w:val="vi-VN"/>
        </w:rPr>
        <w:t xml:space="preserve">các ngành </w:t>
      </w:r>
      <w:r w:rsidRPr="00566B21">
        <w:rPr>
          <w:rFonts w:ascii="Times New Roman" w:eastAsia="Times New Roman" w:hAnsi="Times New Roman" w:cs="Times New Roman"/>
          <w:sz w:val="28"/>
          <w:szCs w:val="28"/>
          <w:lang w:val="vi-VN"/>
        </w:rPr>
        <w:t xml:space="preserve">công nghiệp quy mô </w:t>
      </w:r>
      <w:r w:rsidR="00640266" w:rsidRPr="00566B21">
        <w:rPr>
          <w:rFonts w:ascii="Times New Roman" w:eastAsia="Times New Roman" w:hAnsi="Times New Roman" w:cs="Times New Roman"/>
          <w:sz w:val="28"/>
          <w:szCs w:val="28"/>
          <w:lang w:val="vi-VN"/>
        </w:rPr>
        <w:t xml:space="preserve">lớn </w:t>
      </w:r>
      <w:r w:rsidRPr="00566B21">
        <w:rPr>
          <w:rFonts w:ascii="Times New Roman" w:eastAsia="Times New Roman" w:hAnsi="Times New Roman" w:cs="Times New Roman"/>
          <w:sz w:val="28"/>
          <w:szCs w:val="28"/>
          <w:lang w:val="vi-VN"/>
        </w:rPr>
        <w:t>3,3 và 3,5 điểm phần trăm.</w:t>
      </w:r>
      <w:r w:rsidR="00492AA2" w:rsidRPr="00566B21">
        <w:rPr>
          <w:rFonts w:ascii="Times New Roman" w:eastAsia="Times New Roman" w:hAnsi="Times New Roman" w:cs="Times New Roman"/>
          <w:sz w:val="28"/>
          <w:szCs w:val="28"/>
          <w:lang w:val="vi-VN"/>
        </w:rPr>
        <w:t xml:space="preserve"> </w:t>
      </w:r>
    </w:p>
    <w:p w14:paraId="520DF44D" w14:textId="1EBC90F2" w:rsidR="00B75D82" w:rsidRPr="00566B21" w:rsidRDefault="00492AA2"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566B21">
        <w:rPr>
          <w:rFonts w:ascii="Times New Roman" w:eastAsia="Times New Roman" w:hAnsi="Times New Roman" w:cs="Times New Roman"/>
          <w:sz w:val="28"/>
          <w:szCs w:val="28"/>
          <w:lang w:val="vi-VN"/>
        </w:rPr>
        <w:t xml:space="preserve">Xét theo sản phẩm, </w:t>
      </w:r>
      <w:r w:rsidR="001574DB" w:rsidRPr="00566B21">
        <w:rPr>
          <w:rFonts w:ascii="Times New Roman" w:eastAsia="Times New Roman" w:hAnsi="Times New Roman" w:cs="Times New Roman"/>
          <w:sz w:val="28"/>
          <w:szCs w:val="28"/>
          <w:lang w:val="vi-VN"/>
        </w:rPr>
        <w:t>sản lượng thiết bị in 3D, robot công nghiệp và xe năng lượng mới lần lượt tăng 52,5%, 28,0% và 25,1%.</w:t>
      </w:r>
    </w:p>
    <w:p w14:paraId="3D269088" w14:textId="77777777" w:rsidR="00492AA2" w:rsidRPr="00566B21" w:rsidRDefault="005B7F54" w:rsidP="00DD4289">
      <w:pPr>
        <w:snapToGrid w:val="0"/>
        <w:spacing w:before="60" w:after="60" w:line="360" w:lineRule="exact"/>
        <w:ind w:firstLine="720"/>
        <w:jc w:val="both"/>
        <w:rPr>
          <w:rFonts w:ascii="Times New Roman" w:hAnsi="Times New Roman" w:cs="Times New Roman"/>
          <w:b/>
          <w:sz w:val="28"/>
          <w:szCs w:val="28"/>
          <w:lang w:val="vi-VN"/>
        </w:rPr>
      </w:pPr>
      <w:r w:rsidRPr="00566B21">
        <w:rPr>
          <w:rFonts w:ascii="Times New Roman" w:hAnsi="Times New Roman" w:cs="Times New Roman"/>
          <w:b/>
          <w:sz w:val="28"/>
          <w:szCs w:val="28"/>
          <w:lang w:val="vi-VN"/>
        </w:rPr>
        <w:t>4</w:t>
      </w:r>
      <w:r w:rsidRPr="00DD4289">
        <w:rPr>
          <w:rFonts w:ascii="Times New Roman" w:hAnsi="Times New Roman" w:cs="Times New Roman"/>
          <w:b/>
          <w:sz w:val="28"/>
          <w:szCs w:val="28"/>
          <w:lang w:val="vi-VN"/>
        </w:rPr>
        <w:t xml:space="preserve">. Về xuất nhập khẩu </w:t>
      </w:r>
    </w:p>
    <w:p w14:paraId="51229ACC" w14:textId="77777777" w:rsidR="001A65FD" w:rsidRPr="00DD4289" w:rsidRDefault="00492AA2" w:rsidP="00DD4289">
      <w:pPr>
        <w:spacing w:before="60" w:after="60" w:line="360" w:lineRule="exact"/>
        <w:ind w:firstLine="720"/>
        <w:jc w:val="both"/>
        <w:rPr>
          <w:rFonts w:ascii="Times New Roman" w:eastAsia="Microsoft YaHei" w:hAnsi="Times New Roman" w:cs="Times New Roman"/>
          <w:color w:val="000000"/>
          <w:sz w:val="28"/>
          <w:szCs w:val="28"/>
          <w:lang w:val="vi-VN"/>
        </w:rPr>
      </w:pPr>
      <w:r w:rsidRPr="00DD4289">
        <w:rPr>
          <w:rFonts w:ascii="Times New Roman" w:eastAsia="Microsoft YaHei" w:hAnsi="Times New Roman" w:cs="Times New Roman"/>
          <w:color w:val="000000"/>
          <w:sz w:val="28"/>
          <w:szCs w:val="28"/>
          <w:lang w:val="vi-VN"/>
        </w:rPr>
        <w:t xml:space="preserve">Tổng giá trị xuất nhập khẩu hàng hóa năm 2025 của Trung Quốc đạt 45.468,7 tỷ </w:t>
      </w:r>
      <w:r w:rsidRPr="00566B21">
        <w:rPr>
          <w:rFonts w:ascii="Times New Roman" w:eastAsia="Microsoft YaHei" w:hAnsi="Times New Roman" w:cs="Times New Roman"/>
          <w:color w:val="000000"/>
          <w:sz w:val="28"/>
          <w:szCs w:val="28"/>
          <w:lang w:val="vi-VN"/>
        </w:rPr>
        <w:t>N</w:t>
      </w:r>
      <w:r w:rsidRPr="00DD4289">
        <w:rPr>
          <w:rFonts w:ascii="Times New Roman" w:eastAsia="Microsoft YaHei" w:hAnsi="Times New Roman" w:cs="Times New Roman"/>
          <w:color w:val="000000"/>
          <w:sz w:val="28"/>
          <w:szCs w:val="28"/>
          <w:lang w:val="vi-VN"/>
        </w:rPr>
        <w:t>hân dân tệ, tăng 3,8% so với năm 2024. Trong đó, xuất khẩu đạt 26.989,2 tỷ Nhân dân tệ, tăng 6,1%; nhập khẩu đạt 18.479,5 tỷ Nhân dân tệ, tăng 0,5%.</w:t>
      </w:r>
      <w:r w:rsidR="001A65FD" w:rsidRPr="00DD4289">
        <w:rPr>
          <w:rFonts w:ascii="Times New Roman" w:eastAsia="Microsoft YaHei" w:hAnsi="Times New Roman" w:cs="Times New Roman"/>
          <w:color w:val="000000"/>
          <w:sz w:val="28"/>
          <w:szCs w:val="28"/>
          <w:lang w:val="vi-VN"/>
        </w:rPr>
        <w:t xml:space="preserve"> </w:t>
      </w:r>
    </w:p>
    <w:p w14:paraId="4F84DD33" w14:textId="798B2E07" w:rsidR="001A65FD" w:rsidRPr="00DD4289" w:rsidRDefault="001A65FD" w:rsidP="00DD4289">
      <w:pPr>
        <w:spacing w:before="60" w:after="60" w:line="360" w:lineRule="exact"/>
        <w:ind w:firstLine="720"/>
        <w:jc w:val="both"/>
        <w:rPr>
          <w:rFonts w:ascii="Times New Roman" w:eastAsia="Microsoft YaHei" w:hAnsi="Times New Roman" w:cs="Times New Roman"/>
          <w:color w:val="000000"/>
          <w:sz w:val="28"/>
          <w:szCs w:val="28"/>
          <w:lang w:val="vi-VN"/>
        </w:rPr>
      </w:pPr>
      <w:r w:rsidRPr="00DD4289">
        <w:rPr>
          <w:rFonts w:ascii="Times New Roman" w:eastAsia="Microsoft YaHei" w:hAnsi="Times New Roman" w:cs="Times New Roman"/>
          <w:color w:val="000000"/>
          <w:sz w:val="28"/>
          <w:szCs w:val="28"/>
          <w:lang w:val="vi-VN"/>
        </w:rPr>
        <w:t>Tổng giá trị nhập khẩu các sản phẩm cơ điện đạt 7,41 nghìn tỷ</w:t>
      </w:r>
      <w:r w:rsidR="00566769">
        <w:rPr>
          <w:rFonts w:ascii="Times New Roman" w:eastAsia="Microsoft YaHei" w:hAnsi="Times New Roman" w:cs="Times New Roman"/>
          <w:color w:val="000000"/>
          <w:sz w:val="28"/>
          <w:szCs w:val="28"/>
          <w:lang w:val="vi-VN"/>
        </w:rPr>
        <w:t xml:space="preserve"> </w:t>
      </w:r>
      <w:r w:rsidR="00566769" w:rsidRPr="0010451A">
        <w:rPr>
          <w:rFonts w:ascii="Times New Roman" w:eastAsia="Microsoft YaHei" w:hAnsi="Times New Roman" w:cs="Times New Roman"/>
          <w:color w:val="000000"/>
          <w:sz w:val="28"/>
          <w:szCs w:val="28"/>
          <w:lang w:val="vi-VN"/>
        </w:rPr>
        <w:t>N</w:t>
      </w:r>
      <w:r w:rsidRPr="00DD4289">
        <w:rPr>
          <w:rFonts w:ascii="Times New Roman" w:eastAsia="Microsoft YaHei" w:hAnsi="Times New Roman" w:cs="Times New Roman"/>
          <w:color w:val="000000"/>
          <w:sz w:val="28"/>
          <w:szCs w:val="28"/>
          <w:lang w:val="vi-VN"/>
        </w:rPr>
        <w:t xml:space="preserve">hân dân tệ, tăng 5,7%, trong đó nhập khẩu linh kiện điện tử và linh kiện máy tính tăng lần lượt tăng 9,7% và 20%. Nhập khẩu các mặt hàng thô như dầu thô và quặng kim loại tăng lần lượt 4,4% và 5,2%. Nhập khẩu hàng tiêu dùng như trái cây, rau quả khô và tươi; dầu ăn tăng lần lượt 5,6% và 16,6%. </w:t>
      </w:r>
    </w:p>
    <w:p w14:paraId="74E0F3AE" w14:textId="3726C319" w:rsidR="00492AA2" w:rsidRPr="00566B21" w:rsidRDefault="00492AA2" w:rsidP="00DD4289">
      <w:pPr>
        <w:spacing w:before="60" w:after="60" w:line="360" w:lineRule="exact"/>
        <w:ind w:firstLine="720"/>
        <w:jc w:val="both"/>
        <w:rPr>
          <w:rFonts w:ascii="Times New Roman" w:eastAsia="Microsoft YaHei" w:hAnsi="Times New Roman" w:cs="Times New Roman"/>
          <w:color w:val="000000"/>
          <w:sz w:val="28"/>
          <w:szCs w:val="28"/>
          <w:lang w:val="vi-VN"/>
        </w:rPr>
      </w:pPr>
      <w:r w:rsidRPr="00DD4289">
        <w:rPr>
          <w:rFonts w:ascii="Times New Roman" w:eastAsia="Microsoft YaHei" w:hAnsi="Times New Roman" w:cs="Times New Roman"/>
          <w:color w:val="000000"/>
          <w:sz w:val="28"/>
          <w:szCs w:val="28"/>
          <w:lang w:val="vi-VN"/>
        </w:rPr>
        <w:t xml:space="preserve">Xét theo đối tác, kim ngạch xuất nhập khẩu giữa Trung Quốc với </w:t>
      </w:r>
      <w:hyperlink r:id="rId9" w:tgtFrame="_blank" w:history="1">
        <w:r w:rsidRPr="00DD4289">
          <w:rPr>
            <w:rFonts w:ascii="Times New Roman" w:eastAsia="Microsoft YaHei" w:hAnsi="Times New Roman" w:cs="Times New Roman"/>
            <w:color w:val="000000"/>
            <w:sz w:val="28"/>
            <w:szCs w:val="28"/>
            <w:lang w:val="vi-VN"/>
          </w:rPr>
          <w:t>ASEAN</w:t>
        </w:r>
      </w:hyperlink>
      <w:r w:rsidRPr="00DD4289">
        <w:rPr>
          <w:rFonts w:ascii="Times New Roman" w:eastAsia="Microsoft YaHei" w:hAnsi="Times New Roman" w:cs="Times New Roman"/>
          <w:color w:val="000000"/>
          <w:sz w:val="28"/>
          <w:szCs w:val="28"/>
          <w:lang w:val="vi-VN"/>
        </w:rPr>
        <w:t>, Mỹ La-tinh và châu Phi lần lượt đạt 7.550, 3.930 và 2.490 tỷ Nhân dân tệ, tăng 8%, 6,5% và 18,4%. Xuất nhập khẩu với các nước tham gia Sáng kiến ​​“Vành đai và Con đường” tăng 6,3%, chiếm 51,9% tổng kim ngạch xuất nhập khẩu.</w:t>
      </w:r>
    </w:p>
    <w:p w14:paraId="603D4C6A" w14:textId="65E4F731" w:rsidR="00492AA2" w:rsidRPr="00566B21" w:rsidRDefault="00492AA2" w:rsidP="00DD4289">
      <w:pPr>
        <w:snapToGrid w:val="0"/>
        <w:spacing w:before="60" w:after="60" w:line="360" w:lineRule="exact"/>
        <w:ind w:firstLine="720"/>
        <w:jc w:val="both"/>
        <w:rPr>
          <w:rFonts w:ascii="Times New Roman" w:eastAsia="Microsoft YaHei" w:hAnsi="Times New Roman" w:cs="Times New Roman"/>
          <w:color w:val="000000"/>
          <w:sz w:val="28"/>
          <w:szCs w:val="28"/>
          <w:lang w:val="vi-VN"/>
        </w:rPr>
      </w:pPr>
      <w:r w:rsidRPr="00566B21">
        <w:rPr>
          <w:rFonts w:ascii="Times New Roman" w:eastAsia="Microsoft YaHei" w:hAnsi="Times New Roman" w:cs="Times New Roman"/>
          <w:color w:val="000000"/>
          <w:sz w:val="28"/>
          <w:szCs w:val="28"/>
          <w:lang w:val="vi-VN"/>
        </w:rPr>
        <w:t xml:space="preserve">Cơ </w:t>
      </w:r>
      <w:r w:rsidRPr="00DD4289">
        <w:rPr>
          <w:rFonts w:ascii="Times New Roman" w:eastAsia="Microsoft YaHei" w:hAnsi="Times New Roman" w:cs="Times New Roman"/>
          <w:color w:val="000000"/>
          <w:sz w:val="28"/>
          <w:szCs w:val="28"/>
          <w:lang w:val="vi-VN"/>
        </w:rPr>
        <w:t xml:space="preserve">cấu mặt hàng xuất khẩu dịch chuyển theo hướng xanh, mang hàm lượng giá trị công nghệ cao. Kim ngạch xuất khẩu mặt hàng công nghệ đạt 5.250 tỷ nhân dân tệ, tăng 13,2%. Trong khi đó, xuất khẩu các sản phẩm xanh như nhóm ba mặt hàng mới (gồm ô-tô năng lượng mới, pin Lithium, tấm pin </w:t>
      </w:r>
      <w:hyperlink r:id="rId10" w:tgtFrame="_blank" w:history="1">
        <w:r w:rsidRPr="00DD4289">
          <w:rPr>
            <w:rFonts w:ascii="Times New Roman" w:eastAsia="Microsoft YaHei" w:hAnsi="Times New Roman" w:cs="Times New Roman"/>
            <w:color w:val="000000"/>
            <w:sz w:val="28"/>
            <w:szCs w:val="28"/>
            <w:lang w:val="vi-VN"/>
          </w:rPr>
          <w:t>năng lượng mặt trời</w:t>
        </w:r>
      </w:hyperlink>
      <w:r w:rsidRPr="00DD4289">
        <w:rPr>
          <w:rFonts w:ascii="Times New Roman" w:eastAsia="Microsoft YaHei" w:hAnsi="Times New Roman" w:cs="Times New Roman"/>
          <w:color w:val="000000"/>
          <w:sz w:val="28"/>
          <w:szCs w:val="28"/>
          <w:lang w:val="vi-VN"/>
        </w:rPr>
        <w:t>) và tổ máy phát điện gió lần lượt tăng 27,1% và 48,7%</w:t>
      </w:r>
    </w:p>
    <w:p w14:paraId="3D4D6467" w14:textId="1125C3CD" w:rsidR="00492AA2" w:rsidRPr="00DD4289" w:rsidRDefault="00492AA2" w:rsidP="00DD4289">
      <w:pPr>
        <w:snapToGrid w:val="0"/>
        <w:spacing w:before="60" w:after="60" w:line="360" w:lineRule="exact"/>
        <w:ind w:firstLine="720"/>
        <w:jc w:val="both"/>
        <w:rPr>
          <w:rFonts w:ascii="Times New Roman" w:eastAsia="Microsoft YaHei" w:hAnsi="Times New Roman" w:cs="Times New Roman"/>
          <w:color w:val="000000"/>
          <w:sz w:val="28"/>
          <w:szCs w:val="28"/>
          <w:lang w:val="vi-VN"/>
        </w:rPr>
      </w:pPr>
      <w:r w:rsidRPr="00566B21">
        <w:rPr>
          <w:rFonts w:ascii="Times New Roman" w:eastAsia="Microsoft YaHei" w:hAnsi="Times New Roman" w:cs="Times New Roman"/>
          <w:color w:val="000000"/>
          <w:sz w:val="28"/>
          <w:szCs w:val="28"/>
          <w:lang w:val="vi-VN"/>
        </w:rPr>
        <w:t xml:space="preserve">Donh </w:t>
      </w:r>
      <w:r w:rsidRPr="00DD4289">
        <w:rPr>
          <w:rFonts w:ascii="Times New Roman" w:eastAsia="Microsoft YaHei" w:hAnsi="Times New Roman" w:cs="Times New Roman"/>
          <w:color w:val="000000"/>
          <w:sz w:val="28"/>
          <w:szCs w:val="28"/>
          <w:lang w:val="vi-VN"/>
        </w:rPr>
        <w:t>nghiệp tiếp tục phát huy vai trò chủ lực. Trung Quốc có hơn 780.000 chủ thể kinh doanh có hoạt động xuất nhập khẩu thực tế. Trong đó, doanh nghiệp tư nhân vẫn tiếp tục phát huy vai trò chính trong thương mại, khi kim ngạch xuất nhập khẩu đạt 26.040 tỷ nhân dân tệ, tăng 7,1%, chiếm 57,3% tổng kim ngạch xuất nhập khẩu cả nước.</w:t>
      </w:r>
    </w:p>
    <w:p w14:paraId="668A0F36" w14:textId="77777777" w:rsidR="005B7F54" w:rsidRPr="00DD4289" w:rsidRDefault="005B7F54" w:rsidP="00DD4289">
      <w:pPr>
        <w:snapToGrid w:val="0"/>
        <w:spacing w:before="60" w:after="60" w:line="360" w:lineRule="exact"/>
        <w:ind w:firstLine="720"/>
        <w:jc w:val="both"/>
        <w:rPr>
          <w:rFonts w:ascii="Times New Roman" w:hAnsi="Times New Roman" w:cs="Times New Roman"/>
          <w:b/>
          <w:sz w:val="28"/>
          <w:szCs w:val="28"/>
          <w:lang w:val="vi-VN"/>
        </w:rPr>
      </w:pPr>
      <w:r w:rsidRPr="00DD4289">
        <w:rPr>
          <w:rFonts w:ascii="Times New Roman" w:hAnsi="Times New Roman" w:cs="Times New Roman"/>
          <w:b/>
          <w:sz w:val="28"/>
          <w:szCs w:val="28"/>
          <w:lang w:val="vi-VN"/>
        </w:rPr>
        <w:t xml:space="preserve">5. Về các chỉ số CPI và PPI </w:t>
      </w:r>
    </w:p>
    <w:p w14:paraId="233ECD62" w14:textId="486C0F98" w:rsidR="00B06EB3" w:rsidRPr="00566B21" w:rsidRDefault="00492AA2" w:rsidP="00DD4289">
      <w:pPr>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Trong năm 2025, </w:t>
      </w:r>
      <w:r w:rsidRPr="00DD4289">
        <w:rPr>
          <w:rFonts w:ascii="Times New Roman" w:eastAsia="Times New Roman" w:hAnsi="Times New Roman" w:cs="Times New Roman"/>
          <w:sz w:val="28"/>
          <w:szCs w:val="28"/>
        </w:rPr>
        <w:t xml:space="preserve">chỉ số CPI </w:t>
      </w:r>
      <w:r w:rsidRPr="00DD4289">
        <w:rPr>
          <w:rFonts w:ascii="Times New Roman" w:eastAsia="Times New Roman" w:hAnsi="Times New Roman" w:cs="Times New Roman"/>
          <w:sz w:val="28"/>
          <w:szCs w:val="28"/>
          <w:lang w:val="vi-VN"/>
        </w:rPr>
        <w:t xml:space="preserve">không đổi so với năm </w:t>
      </w:r>
      <w:r w:rsidRPr="00DD4289">
        <w:rPr>
          <w:rFonts w:ascii="Times New Roman" w:hAnsi="Times New Roman" w:cs="Times New Roman"/>
          <w:sz w:val="28"/>
          <w:szCs w:val="28"/>
          <w:lang w:val="vi-VN"/>
        </w:rPr>
        <w:t>2024</w:t>
      </w:r>
      <w:r w:rsidRPr="00DD4289">
        <w:rPr>
          <w:rFonts w:ascii="Times New Roman" w:eastAsia="Times New Roman" w:hAnsi="Times New Roman" w:cs="Times New Roman"/>
          <w:sz w:val="28"/>
          <w:szCs w:val="28"/>
          <w:lang w:val="vi-VN"/>
        </w:rPr>
        <w:t>. CPI lõi, sau khi loại trừ giá lương thực và năng lượng, tăng 0,7%, mức tăng cao hơn năm 2024 0,2 điểm phần trăm.</w:t>
      </w:r>
      <w:r w:rsidR="00B06EB3" w:rsidRPr="00DD4289">
        <w:rPr>
          <w:rFonts w:ascii="Times New Roman" w:eastAsia="Times New Roman" w:hAnsi="Times New Roman" w:cs="Times New Roman"/>
          <w:sz w:val="28"/>
          <w:szCs w:val="28"/>
          <w:lang w:val="vi-VN"/>
        </w:rPr>
        <w:t xml:space="preserve"> </w:t>
      </w:r>
      <w:r w:rsidR="00B06EB3" w:rsidRPr="00566B21">
        <w:rPr>
          <w:rFonts w:ascii="Times New Roman" w:eastAsia="Times New Roman" w:hAnsi="Times New Roman" w:cs="Times New Roman"/>
          <w:sz w:val="28"/>
          <w:szCs w:val="28"/>
          <w:lang w:val="vi-VN"/>
        </w:rPr>
        <w:t xml:space="preserve">Chỉ số PPI </w:t>
      </w:r>
      <w:r w:rsidR="00B06EB3" w:rsidRPr="00DD4289">
        <w:rPr>
          <w:rFonts w:ascii="Times New Roman" w:eastAsia="Times New Roman" w:hAnsi="Times New Roman" w:cs="Times New Roman"/>
          <w:sz w:val="28"/>
          <w:szCs w:val="28"/>
          <w:lang w:val="vi-VN"/>
        </w:rPr>
        <w:t xml:space="preserve">giảm 2,6% so với năm </w:t>
      </w:r>
      <w:r w:rsidR="00B06EB3" w:rsidRPr="00566B21">
        <w:rPr>
          <w:rFonts w:ascii="Times New Roman" w:eastAsia="Times New Roman" w:hAnsi="Times New Roman" w:cs="Times New Roman"/>
          <w:sz w:val="28"/>
          <w:szCs w:val="28"/>
          <w:lang w:val="vi-VN"/>
        </w:rPr>
        <w:t xml:space="preserve">2024. </w:t>
      </w:r>
    </w:p>
    <w:p w14:paraId="72AB923D" w14:textId="5931E33E" w:rsidR="00B06EB3" w:rsidRPr="00566B21" w:rsidRDefault="00B06EB3" w:rsidP="00DD4289">
      <w:pPr>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Tính riêng tháng 12/2025, CPI tăng 0,8% so với cùng kỳ, tăng 0,2%</w:t>
      </w:r>
      <w:r w:rsidRPr="00DD4289">
        <w:rPr>
          <w:rFonts w:ascii="Times New Roman" w:hAnsi="Times New Roman" w:cs="Times New Roman"/>
          <w:sz w:val="28"/>
          <w:szCs w:val="28"/>
          <w:lang w:val="vi-VN"/>
        </w:rPr>
        <w:t xml:space="preserve"> so với tháng 11/2025</w:t>
      </w:r>
      <w:r w:rsidRPr="00566B21">
        <w:rPr>
          <w:rFonts w:ascii="Times New Roman" w:eastAsia="Times New Roman" w:hAnsi="Times New Roman" w:cs="Times New Roman"/>
          <w:sz w:val="28"/>
          <w:szCs w:val="28"/>
          <w:lang w:val="vi-VN"/>
        </w:rPr>
        <w:t xml:space="preserve">; chỉ số PPI giảm </w:t>
      </w:r>
      <w:r w:rsidR="00492AA2" w:rsidRPr="00DD4289">
        <w:rPr>
          <w:rFonts w:ascii="Times New Roman" w:eastAsia="Times New Roman" w:hAnsi="Times New Roman" w:cs="Times New Roman"/>
          <w:sz w:val="28"/>
          <w:szCs w:val="28"/>
          <w:lang w:val="vi-VN"/>
        </w:rPr>
        <w:t xml:space="preserve">1,9% so với cùng kỳ </w:t>
      </w:r>
      <w:r w:rsidRPr="00566B21">
        <w:rPr>
          <w:rFonts w:ascii="Times New Roman" w:eastAsia="Times New Roman" w:hAnsi="Times New Roman" w:cs="Times New Roman"/>
          <w:sz w:val="28"/>
          <w:szCs w:val="28"/>
          <w:lang w:val="vi-VN"/>
        </w:rPr>
        <w:t xml:space="preserve">năm 2024. </w:t>
      </w:r>
    </w:p>
    <w:p w14:paraId="445484EC" w14:textId="77777777" w:rsidR="005010FB" w:rsidRPr="00566B21" w:rsidRDefault="00B06EB3" w:rsidP="00DD4289">
      <w:pPr>
        <w:snapToGrid w:val="0"/>
        <w:spacing w:before="60" w:after="60" w:line="360" w:lineRule="exact"/>
        <w:ind w:firstLine="720"/>
        <w:jc w:val="both"/>
        <w:rPr>
          <w:rFonts w:ascii="Times New Roman" w:hAnsi="Times New Roman" w:cs="Times New Roman"/>
          <w:b/>
          <w:iCs/>
          <w:sz w:val="28"/>
          <w:szCs w:val="28"/>
          <w:lang w:val="vi-VN"/>
        </w:rPr>
      </w:pPr>
      <w:r w:rsidRPr="00DD4289">
        <w:rPr>
          <w:rFonts w:ascii="Times New Roman" w:hAnsi="Times New Roman" w:cs="Times New Roman"/>
          <w:b/>
          <w:iCs/>
          <w:sz w:val="28"/>
          <w:szCs w:val="28"/>
          <w:lang w:val="vi-VN"/>
        </w:rPr>
        <w:t xml:space="preserve">6. Đầu tư vào tài sản cố định </w:t>
      </w:r>
    </w:p>
    <w:p w14:paraId="77CE5077" w14:textId="78A59FEB" w:rsidR="005010FB" w:rsidRPr="00566B21" w:rsidRDefault="005010FB" w:rsidP="00DD4289">
      <w:pPr>
        <w:snapToGrid w:val="0"/>
        <w:spacing w:before="60" w:after="60" w:line="360" w:lineRule="exact"/>
        <w:ind w:firstLine="720"/>
        <w:jc w:val="both"/>
        <w:rPr>
          <w:rFonts w:ascii="Times New Roman" w:eastAsia="Microsoft YaHei" w:hAnsi="Times New Roman" w:cs="Times New Roman"/>
          <w:color w:val="000000"/>
          <w:sz w:val="28"/>
          <w:szCs w:val="28"/>
          <w:lang w:val="vi-VN"/>
        </w:rPr>
      </w:pPr>
      <w:r w:rsidRPr="00566B21">
        <w:rPr>
          <w:rFonts w:ascii="Times New Roman" w:eastAsia="Microsoft YaHei" w:hAnsi="Times New Roman" w:cs="Times New Roman"/>
          <w:color w:val="000000"/>
          <w:sz w:val="28"/>
          <w:szCs w:val="28"/>
          <w:lang w:val="vi-VN"/>
        </w:rPr>
        <w:t>Trong năm 2025, t</w:t>
      </w:r>
      <w:r w:rsidR="00B06EB3" w:rsidRPr="00566B21">
        <w:rPr>
          <w:rFonts w:ascii="Times New Roman" w:eastAsia="Microsoft YaHei" w:hAnsi="Times New Roman" w:cs="Times New Roman"/>
          <w:color w:val="000000"/>
          <w:sz w:val="28"/>
          <w:szCs w:val="28"/>
          <w:lang w:val="vi-VN"/>
        </w:rPr>
        <w:t>ổng đầu tư tài sản cố định trên toàn quốc (không bao gồm hộ gia đình nông thôn) đạt 48.518,6 tỷ</w:t>
      </w:r>
      <w:r w:rsidRPr="00566B21">
        <w:rPr>
          <w:rFonts w:ascii="Times New Roman" w:eastAsia="Microsoft YaHei" w:hAnsi="Times New Roman" w:cs="Times New Roman"/>
          <w:color w:val="000000"/>
          <w:sz w:val="28"/>
          <w:szCs w:val="28"/>
          <w:lang w:val="vi-VN"/>
        </w:rPr>
        <w:t xml:space="preserve"> N</w:t>
      </w:r>
      <w:r w:rsidR="00B06EB3" w:rsidRPr="00566B21">
        <w:rPr>
          <w:rFonts w:ascii="Times New Roman" w:eastAsia="Microsoft YaHei" w:hAnsi="Times New Roman" w:cs="Times New Roman"/>
          <w:color w:val="000000"/>
          <w:sz w:val="28"/>
          <w:szCs w:val="28"/>
          <w:lang w:val="vi-VN"/>
        </w:rPr>
        <w:t>hân dân tệ, giảm 3,8% so vớ</w:t>
      </w:r>
      <w:r w:rsidRPr="00566B21">
        <w:rPr>
          <w:rFonts w:ascii="Times New Roman" w:eastAsia="Microsoft YaHei" w:hAnsi="Times New Roman" w:cs="Times New Roman"/>
          <w:color w:val="000000"/>
          <w:sz w:val="28"/>
          <w:szCs w:val="28"/>
          <w:lang w:val="vi-VN"/>
        </w:rPr>
        <w:t xml:space="preserve">i năm </w:t>
      </w:r>
      <w:r w:rsidRPr="00566B21">
        <w:rPr>
          <w:rFonts w:ascii="Times New Roman" w:eastAsia="Microsoft YaHei" w:hAnsi="Times New Roman" w:cs="Times New Roman"/>
          <w:color w:val="000000"/>
          <w:sz w:val="28"/>
          <w:szCs w:val="28"/>
          <w:lang w:val="vi-VN"/>
        </w:rPr>
        <w:lastRenderedPageBreak/>
        <w:t>2024. Nếu</w:t>
      </w:r>
      <w:r w:rsidR="00B06EB3" w:rsidRPr="00566B21">
        <w:rPr>
          <w:rFonts w:ascii="Times New Roman" w:eastAsia="Microsoft YaHei" w:hAnsi="Times New Roman" w:cs="Times New Roman"/>
          <w:color w:val="000000"/>
          <w:sz w:val="28"/>
          <w:szCs w:val="28"/>
          <w:lang w:val="vi-VN"/>
        </w:rPr>
        <w:t xml:space="preserve"> không tính đầu tư phát triển bất động sản, đầu tư tài sản cố định toàn quốc giả</w:t>
      </w:r>
      <w:r w:rsidRPr="00566B21">
        <w:rPr>
          <w:rFonts w:ascii="Times New Roman" w:eastAsia="Microsoft YaHei" w:hAnsi="Times New Roman" w:cs="Times New Roman"/>
          <w:color w:val="000000"/>
          <w:sz w:val="28"/>
          <w:szCs w:val="28"/>
          <w:lang w:val="vi-VN"/>
        </w:rPr>
        <w:t>m 0,5%.</w:t>
      </w:r>
    </w:p>
    <w:p w14:paraId="0663A5D1" w14:textId="0A26BB4A" w:rsidR="007059FD" w:rsidRPr="00566B21" w:rsidRDefault="005010FB" w:rsidP="00DD4289">
      <w:pPr>
        <w:snapToGrid w:val="0"/>
        <w:spacing w:before="60" w:after="60" w:line="360" w:lineRule="exact"/>
        <w:ind w:firstLine="720"/>
        <w:jc w:val="both"/>
        <w:rPr>
          <w:rFonts w:ascii="Times New Roman" w:eastAsia="Microsoft YaHei" w:hAnsi="Times New Roman" w:cs="Times New Roman"/>
          <w:color w:val="000000"/>
          <w:sz w:val="28"/>
          <w:szCs w:val="28"/>
          <w:lang w:val="vi-VN"/>
        </w:rPr>
      </w:pPr>
      <w:r w:rsidRPr="00566B21">
        <w:rPr>
          <w:rFonts w:ascii="Times New Roman" w:eastAsia="Microsoft YaHei" w:hAnsi="Times New Roman" w:cs="Times New Roman"/>
          <w:color w:val="000000"/>
          <w:sz w:val="28"/>
          <w:szCs w:val="28"/>
          <w:lang w:val="vi-VN"/>
        </w:rPr>
        <w:t>Xét theo</w:t>
      </w:r>
      <w:r w:rsidR="00B06EB3" w:rsidRPr="00566B21">
        <w:rPr>
          <w:rFonts w:ascii="Times New Roman" w:eastAsia="Microsoft YaHei" w:hAnsi="Times New Roman" w:cs="Times New Roman"/>
          <w:color w:val="000000"/>
          <w:sz w:val="28"/>
          <w:szCs w:val="28"/>
          <w:lang w:val="vi-VN"/>
        </w:rPr>
        <w:t xml:space="preserve"> l</w:t>
      </w:r>
      <w:r w:rsidR="00B06EB3" w:rsidRPr="00566B21">
        <w:rPr>
          <w:rFonts w:ascii="Times New Roman" w:eastAsia="MS Gothic" w:hAnsi="Times New Roman" w:cs="Times New Roman"/>
          <w:color w:val="000000"/>
          <w:sz w:val="28"/>
          <w:szCs w:val="28"/>
          <w:lang w:val="vi-VN"/>
        </w:rPr>
        <w:t>ĩnh</w:t>
      </w:r>
      <w:r w:rsidR="00B06EB3" w:rsidRPr="00566B21">
        <w:rPr>
          <w:rFonts w:ascii="Times New Roman" w:hAnsi="Times New Roman" w:cs="Times New Roman"/>
          <w:color w:val="000000"/>
          <w:sz w:val="28"/>
          <w:szCs w:val="28"/>
          <w:lang w:val="vi-VN"/>
        </w:rPr>
        <w:t xml:space="preserve"> v</w:t>
      </w:r>
      <w:r w:rsidR="00B06EB3" w:rsidRPr="00DD4289">
        <w:rPr>
          <w:rFonts w:ascii="Times New Roman" w:hAnsi="Times New Roman" w:cs="Times New Roman"/>
          <w:color w:val="000000"/>
          <w:sz w:val="28"/>
          <w:szCs w:val="28"/>
          <w:lang w:val="vi-VN"/>
        </w:rPr>
        <w:t>ực</w:t>
      </w:r>
      <w:r w:rsidR="00B06EB3" w:rsidRPr="00566B21">
        <w:rPr>
          <w:rFonts w:ascii="Times New Roman" w:eastAsia="Microsoft YaHei" w:hAnsi="Times New Roman" w:cs="Times New Roman"/>
          <w:color w:val="000000"/>
          <w:sz w:val="28"/>
          <w:szCs w:val="28"/>
          <w:lang w:val="vi-VN"/>
        </w:rPr>
        <w:t xml:space="preserve">, đầu tư cơ sở hạ tầng giảm 2,2%, đầu tư vào ngành chế tạo tăng 0,6%, và đầu tư phát triển bất động sản giảm 17,2%. Diện tích bán nhà ở thương mại mới xây dựng trên toàn quốc đạt 881,01 triệu </w:t>
      </w:r>
      <w:r w:rsidR="00B06EB3" w:rsidRPr="00566B21">
        <w:rPr>
          <w:rFonts w:ascii="Times New Roman" w:hAnsi="Times New Roman" w:cs="Times New Roman"/>
          <w:color w:val="474747"/>
          <w:sz w:val="28"/>
          <w:szCs w:val="28"/>
          <w:shd w:val="clear" w:color="auto" w:fill="FFFFFF"/>
          <w:lang w:val="vi-VN"/>
        </w:rPr>
        <w:t>m²</w:t>
      </w:r>
      <w:r w:rsidR="00B06EB3" w:rsidRPr="00566B21">
        <w:rPr>
          <w:rFonts w:ascii="Times New Roman" w:eastAsia="Microsoft YaHei" w:hAnsi="Times New Roman" w:cs="Times New Roman"/>
          <w:color w:val="000000"/>
          <w:sz w:val="28"/>
          <w:szCs w:val="28"/>
          <w:lang w:val="vi-VN"/>
        </w:rPr>
        <w:t>, giả</w:t>
      </w:r>
      <w:r w:rsidRPr="00566B21">
        <w:rPr>
          <w:rFonts w:ascii="Times New Roman" w:eastAsia="Microsoft YaHei" w:hAnsi="Times New Roman" w:cs="Times New Roman"/>
          <w:color w:val="000000"/>
          <w:sz w:val="28"/>
          <w:szCs w:val="28"/>
          <w:lang w:val="vi-VN"/>
        </w:rPr>
        <w:t>m 8,7%. D</w:t>
      </w:r>
      <w:r w:rsidR="00B06EB3" w:rsidRPr="00566B21">
        <w:rPr>
          <w:rFonts w:ascii="Times New Roman" w:eastAsia="Microsoft YaHei" w:hAnsi="Times New Roman" w:cs="Times New Roman"/>
          <w:color w:val="000000"/>
          <w:sz w:val="28"/>
          <w:szCs w:val="28"/>
          <w:lang w:val="vi-VN"/>
        </w:rPr>
        <w:t xml:space="preserve">oanh thu bán nhà ở thương mại mới xây dựng đạt 8.393,7 tỷ nhân dân tệ, giảm 12,6%. </w:t>
      </w:r>
    </w:p>
    <w:p w14:paraId="06BCC0DF" w14:textId="77777777" w:rsidR="002D70E3" w:rsidRPr="00566B21" w:rsidRDefault="007059FD" w:rsidP="00DD4289">
      <w:pPr>
        <w:snapToGrid w:val="0"/>
        <w:spacing w:before="60" w:after="60" w:line="360" w:lineRule="exact"/>
        <w:ind w:firstLine="720"/>
        <w:jc w:val="both"/>
        <w:rPr>
          <w:rFonts w:ascii="Times New Roman" w:eastAsia="Microsoft YaHei" w:hAnsi="Times New Roman" w:cs="Times New Roman"/>
          <w:color w:val="000000"/>
          <w:sz w:val="28"/>
          <w:szCs w:val="28"/>
          <w:lang w:val="vi-VN"/>
        </w:rPr>
      </w:pPr>
      <w:r w:rsidRPr="00566B21">
        <w:rPr>
          <w:rFonts w:ascii="Times New Roman" w:eastAsia="Microsoft YaHei" w:hAnsi="Times New Roman" w:cs="Times New Roman"/>
          <w:color w:val="000000"/>
          <w:sz w:val="28"/>
          <w:szCs w:val="28"/>
          <w:lang w:val="vi-VN"/>
        </w:rPr>
        <w:t xml:space="preserve">Xét theo </w:t>
      </w:r>
      <w:r w:rsidR="00B06EB3" w:rsidRPr="00566B21">
        <w:rPr>
          <w:rFonts w:ascii="Times New Roman" w:eastAsia="Microsoft YaHei" w:hAnsi="Times New Roman" w:cs="Times New Roman"/>
          <w:color w:val="000000"/>
          <w:sz w:val="28"/>
          <w:szCs w:val="28"/>
          <w:lang w:val="vi-VN"/>
        </w:rPr>
        <w:t>l</w:t>
      </w:r>
      <w:r w:rsidR="00B06EB3" w:rsidRPr="00566B21">
        <w:rPr>
          <w:rFonts w:ascii="Times New Roman" w:eastAsia="MS Gothic" w:hAnsi="Times New Roman" w:cs="Times New Roman"/>
          <w:color w:val="000000"/>
          <w:sz w:val="28"/>
          <w:szCs w:val="28"/>
          <w:lang w:val="vi-VN"/>
        </w:rPr>
        <w:t>ĩnh</w:t>
      </w:r>
      <w:r w:rsidR="00B06EB3" w:rsidRPr="00566B21">
        <w:rPr>
          <w:rFonts w:ascii="Times New Roman" w:hAnsi="Times New Roman" w:cs="Times New Roman"/>
          <w:color w:val="000000"/>
          <w:sz w:val="28"/>
          <w:szCs w:val="28"/>
          <w:lang w:val="vi-VN"/>
        </w:rPr>
        <w:t xml:space="preserve"> v</w:t>
      </w:r>
      <w:r w:rsidR="00B06EB3" w:rsidRPr="00DD4289">
        <w:rPr>
          <w:rFonts w:ascii="Times New Roman" w:hAnsi="Times New Roman" w:cs="Times New Roman"/>
          <w:color w:val="000000"/>
          <w:sz w:val="28"/>
          <w:szCs w:val="28"/>
          <w:lang w:val="vi-VN"/>
        </w:rPr>
        <w:t>ực kinh tế</w:t>
      </w:r>
      <w:r w:rsidR="00B06EB3" w:rsidRPr="00566B21">
        <w:rPr>
          <w:rFonts w:ascii="Times New Roman" w:eastAsia="Microsoft YaHei" w:hAnsi="Times New Roman" w:cs="Times New Roman"/>
          <w:color w:val="000000"/>
          <w:sz w:val="28"/>
          <w:szCs w:val="28"/>
          <w:lang w:val="vi-VN"/>
        </w:rPr>
        <w:t>, đầu tư vào l</w:t>
      </w:r>
      <w:r w:rsidR="00B06EB3" w:rsidRPr="00566B21">
        <w:rPr>
          <w:rFonts w:ascii="Times New Roman" w:eastAsia="MS Gothic" w:hAnsi="Times New Roman" w:cs="Times New Roman"/>
          <w:color w:val="000000"/>
          <w:sz w:val="28"/>
          <w:szCs w:val="28"/>
          <w:lang w:val="vi-VN"/>
        </w:rPr>
        <w:t>ĩnh</w:t>
      </w:r>
      <w:r w:rsidR="00B06EB3" w:rsidRPr="00566B21">
        <w:rPr>
          <w:rFonts w:ascii="Times New Roman" w:hAnsi="Times New Roman" w:cs="Times New Roman"/>
          <w:color w:val="000000"/>
          <w:sz w:val="28"/>
          <w:szCs w:val="28"/>
          <w:lang w:val="vi-VN"/>
        </w:rPr>
        <w:t xml:space="preserve"> v</w:t>
      </w:r>
      <w:r w:rsidR="00B06EB3" w:rsidRPr="00DD4289">
        <w:rPr>
          <w:rFonts w:ascii="Times New Roman" w:hAnsi="Times New Roman" w:cs="Times New Roman"/>
          <w:color w:val="000000"/>
          <w:sz w:val="28"/>
          <w:szCs w:val="28"/>
          <w:lang w:val="vi-VN"/>
        </w:rPr>
        <w:t>ực</w:t>
      </w:r>
      <w:r w:rsidR="00B06EB3" w:rsidRPr="00566B21">
        <w:rPr>
          <w:rFonts w:ascii="Times New Roman" w:eastAsia="Microsoft YaHei" w:hAnsi="Times New Roman" w:cs="Times New Roman"/>
          <w:color w:val="000000"/>
          <w:sz w:val="28"/>
          <w:szCs w:val="28"/>
          <w:lang w:val="vi-VN"/>
        </w:rPr>
        <w:t xml:space="preserve"> nông, lâm, ng</w:t>
      </w:r>
      <w:r w:rsidR="00B06EB3" w:rsidRPr="00DD4289">
        <w:rPr>
          <w:rFonts w:ascii="Times New Roman" w:eastAsia="Microsoft YaHei" w:hAnsi="Times New Roman" w:cs="Times New Roman"/>
          <w:color w:val="000000"/>
          <w:sz w:val="28"/>
          <w:szCs w:val="28"/>
          <w:lang w:val="vi-VN"/>
        </w:rPr>
        <w:t>ư</w:t>
      </w:r>
      <w:r w:rsidR="00B06EB3" w:rsidRPr="00566B21">
        <w:rPr>
          <w:rFonts w:ascii="Times New Roman" w:eastAsia="Microsoft YaHei" w:hAnsi="Times New Roman" w:cs="Times New Roman"/>
          <w:color w:val="000000"/>
          <w:sz w:val="28"/>
          <w:szCs w:val="28"/>
          <w:lang w:val="vi-VN"/>
        </w:rPr>
        <w:t xml:space="preserve"> nghiệp tăng 2,3%, đầu tư vào l</w:t>
      </w:r>
      <w:r w:rsidR="00B06EB3" w:rsidRPr="00566B21">
        <w:rPr>
          <w:rFonts w:ascii="Times New Roman" w:eastAsia="MS Gothic" w:hAnsi="Times New Roman" w:cs="Times New Roman"/>
          <w:color w:val="000000"/>
          <w:sz w:val="28"/>
          <w:szCs w:val="28"/>
          <w:lang w:val="vi-VN"/>
        </w:rPr>
        <w:t>ĩnh</w:t>
      </w:r>
      <w:r w:rsidR="00B06EB3" w:rsidRPr="00566B21">
        <w:rPr>
          <w:rFonts w:ascii="Times New Roman" w:hAnsi="Times New Roman" w:cs="Times New Roman"/>
          <w:color w:val="000000"/>
          <w:sz w:val="28"/>
          <w:szCs w:val="28"/>
          <w:lang w:val="vi-VN"/>
        </w:rPr>
        <w:t xml:space="preserve"> v</w:t>
      </w:r>
      <w:r w:rsidR="00B06EB3" w:rsidRPr="00DD4289">
        <w:rPr>
          <w:rFonts w:ascii="Times New Roman" w:hAnsi="Times New Roman" w:cs="Times New Roman"/>
          <w:color w:val="000000"/>
          <w:sz w:val="28"/>
          <w:szCs w:val="28"/>
          <w:lang w:val="vi-VN"/>
        </w:rPr>
        <w:t>ực</w:t>
      </w:r>
      <w:r w:rsidR="00B06EB3" w:rsidRPr="00566B21">
        <w:rPr>
          <w:rFonts w:ascii="Times New Roman" w:eastAsia="Microsoft YaHei" w:hAnsi="Times New Roman" w:cs="Times New Roman"/>
          <w:color w:val="000000"/>
          <w:sz w:val="28"/>
          <w:szCs w:val="28"/>
          <w:lang w:val="vi-VN"/>
        </w:rPr>
        <w:t xml:space="preserve"> công nghiệp tăng 2,5%, và đầu tư vào l</w:t>
      </w:r>
      <w:r w:rsidR="00B06EB3" w:rsidRPr="00566B21">
        <w:rPr>
          <w:rFonts w:ascii="Times New Roman" w:eastAsia="MS Gothic" w:hAnsi="Times New Roman" w:cs="Times New Roman"/>
          <w:color w:val="000000"/>
          <w:sz w:val="28"/>
          <w:szCs w:val="28"/>
          <w:lang w:val="vi-VN"/>
        </w:rPr>
        <w:t>ĩnh</w:t>
      </w:r>
      <w:r w:rsidR="00B06EB3" w:rsidRPr="00566B21">
        <w:rPr>
          <w:rFonts w:ascii="Times New Roman" w:hAnsi="Times New Roman" w:cs="Times New Roman"/>
          <w:color w:val="000000"/>
          <w:sz w:val="28"/>
          <w:szCs w:val="28"/>
          <w:lang w:val="vi-VN"/>
        </w:rPr>
        <w:t xml:space="preserve"> v</w:t>
      </w:r>
      <w:r w:rsidR="00B06EB3" w:rsidRPr="00DD4289">
        <w:rPr>
          <w:rFonts w:ascii="Times New Roman" w:hAnsi="Times New Roman" w:cs="Times New Roman"/>
          <w:color w:val="000000"/>
          <w:sz w:val="28"/>
          <w:szCs w:val="28"/>
          <w:lang w:val="vi-VN"/>
        </w:rPr>
        <w:t>ực</w:t>
      </w:r>
      <w:r w:rsidR="00B06EB3" w:rsidRPr="00566B21">
        <w:rPr>
          <w:rFonts w:ascii="Times New Roman" w:eastAsia="Microsoft YaHei" w:hAnsi="Times New Roman" w:cs="Times New Roman"/>
          <w:color w:val="000000"/>
          <w:sz w:val="28"/>
          <w:szCs w:val="28"/>
          <w:lang w:val="vi-VN"/>
        </w:rPr>
        <w:t xml:space="preserve"> dịch vụ giảm 7,4%. Đầu tư tư nhân giả</w:t>
      </w:r>
      <w:r w:rsidR="002D70E3" w:rsidRPr="00566B21">
        <w:rPr>
          <w:rFonts w:ascii="Times New Roman" w:eastAsia="Microsoft YaHei" w:hAnsi="Times New Roman" w:cs="Times New Roman"/>
          <w:color w:val="000000"/>
          <w:sz w:val="28"/>
          <w:szCs w:val="28"/>
          <w:lang w:val="vi-VN"/>
        </w:rPr>
        <w:t xml:space="preserve">m 6,4%. Nếu </w:t>
      </w:r>
      <w:r w:rsidR="00B06EB3" w:rsidRPr="00566B21">
        <w:rPr>
          <w:rFonts w:ascii="Times New Roman" w:eastAsia="Microsoft YaHei" w:hAnsi="Times New Roman" w:cs="Times New Roman"/>
          <w:color w:val="000000"/>
          <w:sz w:val="28"/>
          <w:szCs w:val="28"/>
          <w:lang w:val="vi-VN"/>
        </w:rPr>
        <w:t xml:space="preserve">không tính đầu tư phát triển bất động sản, đầu tư tư nhân giảm 1,9%. </w:t>
      </w:r>
    </w:p>
    <w:p w14:paraId="3F194975" w14:textId="2FC5EFE9" w:rsidR="00060D0A" w:rsidRPr="00566B21" w:rsidRDefault="00B06EB3" w:rsidP="00DD4289">
      <w:pPr>
        <w:snapToGrid w:val="0"/>
        <w:spacing w:before="60" w:after="60" w:line="360" w:lineRule="exact"/>
        <w:ind w:firstLine="720"/>
        <w:jc w:val="both"/>
        <w:rPr>
          <w:rFonts w:ascii="Times New Roman" w:eastAsia="Microsoft YaHei" w:hAnsi="Times New Roman" w:cs="Times New Roman"/>
          <w:color w:val="000000"/>
          <w:sz w:val="28"/>
          <w:szCs w:val="28"/>
          <w:lang w:val="vi-VN"/>
        </w:rPr>
      </w:pPr>
      <w:r w:rsidRPr="00566B21">
        <w:rPr>
          <w:rFonts w:ascii="Times New Roman" w:eastAsia="Microsoft YaHei" w:hAnsi="Times New Roman" w:cs="Times New Roman"/>
          <w:color w:val="000000"/>
          <w:sz w:val="28"/>
          <w:szCs w:val="28"/>
          <w:lang w:val="vi-VN"/>
        </w:rPr>
        <w:t xml:space="preserve">Trong các ngành công nghệ cao, đầu tư vào ngành dịch vụ thông tin; hàng không, vũ trụ và chế tạo thiết bị tăng lần lượt 28,4% và 16,9%. </w:t>
      </w:r>
    </w:p>
    <w:p w14:paraId="38E05EA7" w14:textId="093C2AD5" w:rsidR="00371D62" w:rsidRPr="00566B21" w:rsidRDefault="005F1525" w:rsidP="00DD4289">
      <w:pPr>
        <w:snapToGrid w:val="0"/>
        <w:spacing w:before="60" w:after="60" w:line="360" w:lineRule="exact"/>
        <w:ind w:firstLine="720"/>
        <w:jc w:val="both"/>
        <w:rPr>
          <w:rFonts w:ascii="Times New Roman" w:eastAsia="Microsoft YaHei" w:hAnsi="Times New Roman" w:cs="Times New Roman"/>
          <w:b/>
          <w:color w:val="262626"/>
          <w:sz w:val="28"/>
          <w:szCs w:val="28"/>
          <w:lang w:val="vi-VN"/>
        </w:rPr>
      </w:pPr>
      <w:r>
        <w:rPr>
          <w:rFonts w:ascii="Times New Roman" w:eastAsia="Microsoft YaHei" w:hAnsi="Times New Roman" w:cs="Times New Roman"/>
          <w:b/>
          <w:color w:val="262626"/>
          <w:sz w:val="28"/>
          <w:szCs w:val="28"/>
        </w:rPr>
        <w:t>7</w:t>
      </w:r>
      <w:r w:rsidR="005B7F54" w:rsidRPr="00DD4289">
        <w:rPr>
          <w:rFonts w:ascii="Times New Roman" w:eastAsia="Microsoft YaHei" w:hAnsi="Times New Roman" w:cs="Times New Roman"/>
          <w:b/>
          <w:color w:val="262626"/>
          <w:sz w:val="28"/>
          <w:szCs w:val="28"/>
          <w:lang w:val="vi-VN"/>
        </w:rPr>
        <w:t xml:space="preserve">. Tỷ lệ thất nghiệp </w:t>
      </w:r>
    </w:p>
    <w:p w14:paraId="37A6F844" w14:textId="7D3157D5" w:rsidR="00371D62" w:rsidRPr="00DD4289" w:rsidRDefault="002D70E3"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Trong </w:t>
      </w:r>
      <w:r w:rsidRPr="00566B21">
        <w:rPr>
          <w:rFonts w:ascii="Times New Roman" w:eastAsia="Times New Roman" w:hAnsi="Times New Roman" w:cs="Times New Roman"/>
          <w:sz w:val="28"/>
          <w:szCs w:val="28"/>
          <w:lang w:val="vi-VN"/>
        </w:rPr>
        <w:t>năm 2025</w:t>
      </w:r>
      <w:r w:rsidR="00B06EB3" w:rsidRPr="00DD4289">
        <w:rPr>
          <w:rFonts w:ascii="Times New Roman" w:eastAsia="Times New Roman" w:hAnsi="Times New Roman" w:cs="Times New Roman"/>
          <w:sz w:val="28"/>
          <w:szCs w:val="28"/>
          <w:lang w:val="vi-VN"/>
        </w:rPr>
        <w:t xml:space="preserve">, tỷ lệ thất nghiệp tại khu vực thành thị trên toàn quốc </w:t>
      </w:r>
      <w:r w:rsidR="00B06EB3" w:rsidRPr="00DD4289">
        <w:rPr>
          <w:rFonts w:ascii="Times New Roman" w:hAnsi="Times New Roman" w:cs="Times New Roman"/>
          <w:sz w:val="28"/>
          <w:szCs w:val="28"/>
          <w:lang w:val="vi-VN"/>
        </w:rPr>
        <w:t>là</w:t>
      </w:r>
      <w:r w:rsidR="00B06EB3" w:rsidRPr="00DD4289">
        <w:rPr>
          <w:rFonts w:ascii="Times New Roman" w:eastAsia="Times New Roman" w:hAnsi="Times New Roman" w:cs="Times New Roman"/>
          <w:sz w:val="28"/>
          <w:szCs w:val="28"/>
          <w:lang w:val="vi-VN"/>
        </w:rPr>
        <w:t xml:space="preserve"> 5,2%. Tỷ lệ thất nghiệp tại 31 thành phố lớn đạt 5,1%. Thời gian làm việc bình quân theo tuần của người lao động trong doanh nghiệp trên toàn quốc là 48,6 giờ.</w:t>
      </w:r>
      <w:r w:rsidR="00371D62" w:rsidRPr="00DD4289">
        <w:rPr>
          <w:rFonts w:ascii="Times New Roman" w:eastAsia="Times New Roman" w:hAnsi="Times New Roman" w:cs="Times New Roman"/>
          <w:sz w:val="28"/>
          <w:szCs w:val="28"/>
          <w:lang w:val="vi-VN"/>
        </w:rPr>
        <w:t xml:space="preserve"> Tính riêng tháng 12/2025, tỷ lệ thất nghiệp tại khu vực thành thị là 5,1%.</w:t>
      </w:r>
    </w:p>
    <w:p w14:paraId="1F26A1AA" w14:textId="1A2D2DB5" w:rsidR="00371D62" w:rsidRPr="00566B21" w:rsidRDefault="005F1525" w:rsidP="00DD4289">
      <w:pPr>
        <w:snapToGrid w:val="0"/>
        <w:spacing w:before="60" w:after="60" w:line="360" w:lineRule="exact"/>
        <w:ind w:firstLine="720"/>
        <w:jc w:val="both"/>
        <w:rPr>
          <w:rFonts w:ascii="Times New Roman" w:eastAsia="Microsoft YaHei" w:hAnsi="Times New Roman" w:cs="Times New Roman"/>
          <w:b/>
          <w:color w:val="262626"/>
          <w:sz w:val="28"/>
          <w:szCs w:val="28"/>
          <w:lang w:val="vi-VN"/>
        </w:rPr>
      </w:pPr>
      <w:r>
        <w:rPr>
          <w:rFonts w:ascii="Times New Roman" w:eastAsia="Microsoft YaHei" w:hAnsi="Times New Roman" w:cs="Times New Roman"/>
          <w:b/>
          <w:color w:val="262626"/>
          <w:sz w:val="28"/>
          <w:szCs w:val="28"/>
        </w:rPr>
        <w:t>8</w:t>
      </w:r>
      <w:r w:rsidR="005B7F54" w:rsidRPr="00DD4289">
        <w:rPr>
          <w:rFonts w:ascii="Times New Roman" w:eastAsia="Microsoft YaHei" w:hAnsi="Times New Roman" w:cs="Times New Roman"/>
          <w:b/>
          <w:color w:val="262626"/>
          <w:sz w:val="28"/>
          <w:szCs w:val="28"/>
          <w:lang w:val="vi-VN"/>
        </w:rPr>
        <w:t xml:space="preserve">. </w:t>
      </w:r>
      <w:r w:rsidR="00B06EB3" w:rsidRPr="00DD4289">
        <w:rPr>
          <w:rFonts w:ascii="Times New Roman" w:eastAsia="Microsoft YaHei" w:hAnsi="Times New Roman" w:cs="Times New Roman"/>
          <w:b/>
          <w:color w:val="262626"/>
          <w:sz w:val="28"/>
          <w:szCs w:val="28"/>
          <w:lang w:val="vi-VN"/>
        </w:rPr>
        <w:t xml:space="preserve">Thu nhập </w:t>
      </w:r>
    </w:p>
    <w:p w14:paraId="520001D6" w14:textId="742D43AD" w:rsidR="00393BAA" w:rsidRPr="00DD4289" w:rsidRDefault="00371D62" w:rsidP="00DD4289">
      <w:pPr>
        <w:snapToGrid w:val="0"/>
        <w:spacing w:before="60" w:after="60" w:line="360" w:lineRule="exact"/>
        <w:ind w:firstLine="720"/>
        <w:jc w:val="both"/>
        <w:rPr>
          <w:rFonts w:ascii="Times New Roman" w:eastAsia="Microsoft YaHei" w:hAnsi="Times New Roman" w:cs="Times New Roman"/>
          <w:b/>
          <w:color w:val="262626"/>
          <w:sz w:val="28"/>
          <w:szCs w:val="28"/>
          <w:lang w:val="vi-VN"/>
        </w:rPr>
      </w:pPr>
      <w:r w:rsidRPr="00DD4289">
        <w:rPr>
          <w:rFonts w:ascii="Times New Roman" w:eastAsia="Times New Roman" w:hAnsi="Times New Roman" w:cs="Times New Roman"/>
          <w:sz w:val="28"/>
          <w:szCs w:val="28"/>
          <w:lang w:val="vi-VN"/>
        </w:rPr>
        <w:t>Thu nhập khả dụng bình quân</w:t>
      </w:r>
      <w:r w:rsidR="0010451A">
        <w:rPr>
          <w:rFonts w:ascii="Times New Roman" w:eastAsia="Times New Roman" w:hAnsi="Times New Roman" w:cs="Times New Roman"/>
          <w:sz w:val="28"/>
          <w:szCs w:val="28"/>
          <w:lang w:val="vi-VN"/>
        </w:rPr>
        <w:t xml:space="preserve"> đầu người năm 2025 đạt 43.377 </w:t>
      </w:r>
      <w:r w:rsidR="0010451A" w:rsidRPr="00A6660E">
        <w:rPr>
          <w:rFonts w:ascii="Times New Roman" w:eastAsia="Times New Roman" w:hAnsi="Times New Roman" w:cs="Times New Roman"/>
          <w:sz w:val="28"/>
          <w:szCs w:val="28"/>
          <w:lang w:val="vi-VN"/>
        </w:rPr>
        <w:t>N</w:t>
      </w:r>
      <w:r w:rsidRPr="00DD4289">
        <w:rPr>
          <w:rFonts w:ascii="Times New Roman" w:eastAsia="Times New Roman" w:hAnsi="Times New Roman" w:cs="Times New Roman"/>
          <w:sz w:val="28"/>
          <w:szCs w:val="28"/>
          <w:lang w:val="vi-VN"/>
        </w:rPr>
        <w:t xml:space="preserve">hân dân tệ (6.214,4 USD), tăng 5% về cả giá trị danh nghĩa và thực tế sau khi loại trừ yếu tố giá cả. </w:t>
      </w:r>
    </w:p>
    <w:p w14:paraId="681439D5" w14:textId="77777777" w:rsidR="004F69DD" w:rsidRPr="00566B21" w:rsidRDefault="00393BAA" w:rsidP="00DD4289">
      <w:pPr>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Chi tiêu tiêu dùng bình quân đầu người </w:t>
      </w:r>
      <w:r w:rsidR="004F69DD" w:rsidRPr="00DD4289">
        <w:rPr>
          <w:rFonts w:ascii="Times New Roman" w:eastAsia="Times New Roman" w:hAnsi="Times New Roman" w:cs="Times New Roman"/>
          <w:sz w:val="28"/>
          <w:szCs w:val="28"/>
          <w:lang w:val="vi-VN"/>
        </w:rPr>
        <w:t>đạt 29.476 N</w:t>
      </w:r>
      <w:r w:rsidRPr="00DD4289">
        <w:rPr>
          <w:rFonts w:ascii="Times New Roman" w:eastAsia="Times New Roman" w:hAnsi="Times New Roman" w:cs="Times New Roman"/>
          <w:sz w:val="28"/>
          <w:szCs w:val="28"/>
          <w:lang w:val="vi-VN"/>
        </w:rPr>
        <w:t xml:space="preserve">hân dân tệ, tăng </w:t>
      </w:r>
      <w:r w:rsidR="004F69DD" w:rsidRPr="00DD4289">
        <w:rPr>
          <w:rFonts w:ascii="Times New Roman" w:eastAsia="Times New Roman" w:hAnsi="Times New Roman" w:cs="Times New Roman"/>
          <w:sz w:val="28"/>
          <w:szCs w:val="28"/>
          <w:lang w:val="vi-VN"/>
        </w:rPr>
        <w:t xml:space="preserve">4,4% cả về giá trị danh nghĩa và thực tế sau khi loại trừ yếu tố giá cả. </w:t>
      </w:r>
    </w:p>
    <w:p w14:paraId="6A9EAA64" w14:textId="10D2C855" w:rsidR="005B7F54" w:rsidRPr="00566B21" w:rsidRDefault="005F1525" w:rsidP="00DD4289">
      <w:pPr>
        <w:snapToGrid w:val="0"/>
        <w:spacing w:before="60" w:after="60" w:line="360" w:lineRule="exact"/>
        <w:ind w:firstLine="720"/>
        <w:jc w:val="both"/>
        <w:rPr>
          <w:rFonts w:ascii="Times New Roman" w:hAnsi="Times New Roman" w:cs="Times New Roman"/>
          <w:b/>
          <w:color w:val="000000" w:themeColor="text1"/>
          <w:sz w:val="28"/>
          <w:szCs w:val="28"/>
          <w:lang w:val="vi-VN"/>
        </w:rPr>
      </w:pPr>
      <w:r>
        <w:rPr>
          <w:rFonts w:ascii="Times New Roman" w:eastAsia="Microsoft YaHei" w:hAnsi="Times New Roman" w:cs="Times New Roman"/>
          <w:b/>
          <w:color w:val="262626"/>
          <w:sz w:val="28"/>
          <w:szCs w:val="28"/>
        </w:rPr>
        <w:t>9</w:t>
      </w:r>
      <w:r w:rsidR="00B06EB3" w:rsidRPr="00566B21">
        <w:rPr>
          <w:rFonts w:ascii="Times New Roman" w:eastAsia="Microsoft YaHei" w:hAnsi="Times New Roman" w:cs="Times New Roman"/>
          <w:b/>
          <w:color w:val="262626"/>
          <w:sz w:val="28"/>
          <w:szCs w:val="28"/>
          <w:lang w:val="vi-VN"/>
        </w:rPr>
        <w:t xml:space="preserve">. Quy mô dân số </w:t>
      </w:r>
      <w:r w:rsidR="005B7F54" w:rsidRPr="00566B21">
        <w:rPr>
          <w:rFonts w:ascii="Times New Roman" w:eastAsia="Microsoft YaHei" w:hAnsi="Times New Roman" w:cs="Times New Roman"/>
          <w:b/>
          <w:color w:val="262626"/>
          <w:sz w:val="28"/>
          <w:szCs w:val="28"/>
          <w:lang w:val="vi-VN"/>
        </w:rPr>
        <w:t xml:space="preserve"> </w:t>
      </w:r>
    </w:p>
    <w:p w14:paraId="73952915" w14:textId="77777777" w:rsidR="00681E75" w:rsidRPr="00DD4289" w:rsidRDefault="00B06EB3"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Tính đến cuối năm</w:t>
      </w:r>
      <w:r w:rsidR="004F69DD" w:rsidRPr="00DD4289">
        <w:rPr>
          <w:rFonts w:ascii="Times New Roman" w:eastAsia="Times New Roman" w:hAnsi="Times New Roman" w:cs="Times New Roman"/>
          <w:sz w:val="28"/>
          <w:szCs w:val="28"/>
          <w:lang w:val="vi-VN"/>
        </w:rPr>
        <w:t xml:space="preserve"> 2025</w:t>
      </w:r>
      <w:r w:rsidRPr="00DD4289">
        <w:rPr>
          <w:rFonts w:ascii="Times New Roman" w:eastAsia="Times New Roman" w:hAnsi="Times New Roman" w:cs="Times New Roman"/>
          <w:sz w:val="28"/>
          <w:szCs w:val="28"/>
          <w:lang w:val="vi-VN"/>
        </w:rPr>
        <w:t>, dân số của Trung Quốc (bao gồm dân số của 31 tỉnh, khu tự trị, thành phố trực thuộc Trung ương và quân nhân đang tại ngũ; không bao gồm cư dân Hồng Kông, Ma Cao, Đài Loan và người nước ngoài cư trú tại 31 tỉnh, khu tự trị, thành phố trực thuộc Trung ương) đạt 1.404,89 triệu người, giảm 3,39 t</w:t>
      </w:r>
      <w:r w:rsidR="00681E75" w:rsidRPr="00DD4289">
        <w:rPr>
          <w:rFonts w:ascii="Times New Roman" w:eastAsia="Times New Roman" w:hAnsi="Times New Roman" w:cs="Times New Roman"/>
          <w:sz w:val="28"/>
          <w:szCs w:val="28"/>
          <w:lang w:val="vi-VN"/>
        </w:rPr>
        <w:t>riệu người so với cuối năm 2024</w:t>
      </w:r>
      <w:r w:rsidRPr="00DD4289">
        <w:rPr>
          <w:rFonts w:ascii="Times New Roman" w:eastAsia="Times New Roman" w:hAnsi="Times New Roman" w:cs="Times New Roman"/>
          <w:sz w:val="28"/>
          <w:szCs w:val="28"/>
          <w:lang w:val="vi-VN"/>
        </w:rPr>
        <w:t xml:space="preserve">. </w:t>
      </w:r>
    </w:p>
    <w:p w14:paraId="5DF791BE" w14:textId="251A0508" w:rsidR="00EF4E4D" w:rsidRPr="002A1B08" w:rsidRDefault="00681E75"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Trung Quốc ghi nhận mức sinh thấp kỷ lục. Cụ thể, số trẻ sinh ra năm 2025 đạt 7,92 triệu người, giảm 17% so với mức 9,54 triệu của năm 2024. Đây là mức sinh thấp nhất kể từ khi thống kê được tiến hành năm 1949, đồng thời thấp hơn mức thấp kỷ lục năm 2023.  Trong khi đó, số người qua đời trong năm 2025 dự kiến khoảng 11,31 triệu người  - thuộc nhóm cao nhất trong vòng 50 năm qua. </w:t>
      </w:r>
    </w:p>
    <w:p w14:paraId="078A481A" w14:textId="77777777" w:rsidR="00A6660E" w:rsidRPr="002A1B08" w:rsidRDefault="00A6660E" w:rsidP="00DD4289">
      <w:pPr>
        <w:snapToGrid w:val="0"/>
        <w:spacing w:before="60" w:after="60" w:line="360" w:lineRule="exact"/>
        <w:ind w:firstLine="720"/>
        <w:jc w:val="both"/>
        <w:rPr>
          <w:rFonts w:ascii="Times New Roman" w:eastAsia="Times New Roman" w:hAnsi="Times New Roman" w:cs="Times New Roman"/>
          <w:sz w:val="28"/>
          <w:szCs w:val="28"/>
          <w:lang w:val="vi-VN"/>
        </w:rPr>
      </w:pPr>
    </w:p>
    <w:p w14:paraId="5EFCB17C" w14:textId="77777777" w:rsidR="00A6660E" w:rsidRPr="002A1B08" w:rsidRDefault="00A6660E" w:rsidP="00DD4289">
      <w:pPr>
        <w:snapToGrid w:val="0"/>
        <w:spacing w:before="60" w:after="60" w:line="360" w:lineRule="exact"/>
        <w:ind w:firstLine="720"/>
        <w:jc w:val="both"/>
        <w:rPr>
          <w:rFonts w:ascii="Times New Roman" w:eastAsia="Times New Roman" w:hAnsi="Times New Roman" w:cs="Times New Roman"/>
          <w:sz w:val="28"/>
          <w:szCs w:val="28"/>
          <w:lang w:val="vi-VN"/>
        </w:rPr>
      </w:pPr>
    </w:p>
    <w:p w14:paraId="41E3D2C2" w14:textId="579BB4AE" w:rsidR="00121CA1" w:rsidRPr="00566B21" w:rsidRDefault="004C38A3" w:rsidP="00DD4289">
      <w:pPr>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hAnsi="Times New Roman" w:cs="Times New Roman"/>
          <w:b/>
          <w:bCs/>
          <w:color w:val="000000" w:themeColor="text1"/>
          <w:sz w:val="28"/>
          <w:szCs w:val="28"/>
          <w:lang w:val="vi-VN"/>
        </w:rPr>
        <w:lastRenderedPageBreak/>
        <w:t>II. Thông tin thị trườ</w:t>
      </w:r>
      <w:r w:rsidR="00BC216F" w:rsidRPr="00DD4289">
        <w:rPr>
          <w:rFonts w:ascii="Times New Roman" w:hAnsi="Times New Roman" w:cs="Times New Roman"/>
          <w:b/>
          <w:bCs/>
          <w:color w:val="000000" w:themeColor="text1"/>
          <w:sz w:val="28"/>
          <w:szCs w:val="28"/>
          <w:lang w:val="vi-VN"/>
        </w:rPr>
        <w:t>ng,</w:t>
      </w:r>
      <w:r w:rsidR="000E0761" w:rsidRPr="00DD4289">
        <w:rPr>
          <w:rFonts w:ascii="Times New Roman" w:hAnsi="Times New Roman" w:cs="Times New Roman"/>
          <w:b/>
          <w:bCs/>
          <w:color w:val="000000" w:themeColor="text1"/>
          <w:sz w:val="28"/>
          <w:szCs w:val="28"/>
          <w:lang w:val="vi-VN"/>
        </w:rPr>
        <w:t xml:space="preserve"> </w:t>
      </w:r>
      <w:r w:rsidR="00BF6893" w:rsidRPr="00DD4289">
        <w:rPr>
          <w:rFonts w:ascii="Times New Roman" w:hAnsi="Times New Roman" w:cs="Times New Roman"/>
          <w:b/>
          <w:bCs/>
          <w:color w:val="000000" w:themeColor="text1"/>
          <w:sz w:val="28"/>
          <w:szCs w:val="28"/>
          <w:lang w:val="vi-VN"/>
        </w:rPr>
        <w:t>chính sách</w:t>
      </w:r>
      <w:r w:rsidR="001E2AB9" w:rsidRPr="00DD4289">
        <w:rPr>
          <w:rFonts w:ascii="Times New Roman" w:hAnsi="Times New Roman" w:cs="Times New Roman"/>
          <w:b/>
          <w:bCs/>
          <w:color w:val="000000" w:themeColor="text1"/>
          <w:sz w:val="28"/>
          <w:szCs w:val="28"/>
          <w:lang w:val="vi-VN"/>
        </w:rPr>
        <w:t xml:space="preserve"> mới</w:t>
      </w:r>
      <w:r w:rsidR="00BF6893" w:rsidRPr="00DD4289">
        <w:rPr>
          <w:rFonts w:ascii="Times New Roman" w:hAnsi="Times New Roman" w:cs="Times New Roman"/>
          <w:b/>
          <w:bCs/>
          <w:color w:val="000000" w:themeColor="text1"/>
          <w:sz w:val="28"/>
          <w:szCs w:val="28"/>
          <w:lang w:val="vi-VN"/>
        </w:rPr>
        <w:t xml:space="preserve">, kết nối doanh nghiệp </w:t>
      </w:r>
      <w:r w:rsidR="00A01221" w:rsidRPr="00DD4289">
        <w:rPr>
          <w:rFonts w:ascii="Times New Roman" w:hAnsi="Times New Roman" w:cs="Times New Roman"/>
          <w:b/>
          <w:bCs/>
          <w:color w:val="000000" w:themeColor="text1"/>
          <w:sz w:val="28"/>
          <w:szCs w:val="28"/>
          <w:lang w:val="vi-VN"/>
        </w:rPr>
        <w:tab/>
      </w:r>
    </w:p>
    <w:p w14:paraId="3CA3CE5D" w14:textId="3E9D1E73" w:rsidR="004B621A" w:rsidRPr="00566B21" w:rsidRDefault="000E2E86" w:rsidP="00DD4289">
      <w:pPr>
        <w:spacing w:before="60" w:after="60" w:line="360" w:lineRule="exact"/>
        <w:ind w:firstLine="720"/>
        <w:jc w:val="both"/>
        <w:rPr>
          <w:rFonts w:ascii="Times New Roman" w:eastAsia="DengXian Light" w:hAnsi="Times New Roman" w:cs="Times New Roman"/>
          <w:b/>
          <w:color w:val="0D0D0D"/>
          <w:kern w:val="2"/>
          <w:sz w:val="28"/>
          <w:szCs w:val="28"/>
          <w:lang w:val="vi-VN"/>
        </w:rPr>
      </w:pPr>
      <w:r w:rsidRPr="00DD4289">
        <w:rPr>
          <w:rFonts w:ascii="Times New Roman" w:eastAsia="DengXian Light" w:hAnsi="Times New Roman" w:cs="Times New Roman"/>
          <w:b/>
          <w:color w:val="0D0D0D"/>
          <w:kern w:val="2"/>
          <w:sz w:val="28"/>
          <w:szCs w:val="28"/>
          <w:lang w:val="vi-VN"/>
        </w:rPr>
        <w:t xml:space="preserve">1. </w:t>
      </w:r>
      <w:r w:rsidR="00581148" w:rsidRPr="00566B21">
        <w:rPr>
          <w:rFonts w:ascii="Times New Roman" w:eastAsia="DengXian Light" w:hAnsi="Times New Roman" w:cs="Times New Roman"/>
          <w:b/>
          <w:color w:val="0D0D0D"/>
          <w:kern w:val="2"/>
          <w:sz w:val="28"/>
          <w:szCs w:val="28"/>
          <w:lang w:val="vi-VN"/>
        </w:rPr>
        <w:t>Thương mại</w:t>
      </w:r>
      <w:r w:rsidR="00913F81" w:rsidRPr="00566B21">
        <w:rPr>
          <w:rFonts w:ascii="Times New Roman" w:eastAsia="DengXian Light" w:hAnsi="Times New Roman" w:cs="Times New Roman"/>
          <w:b/>
          <w:color w:val="0D0D0D"/>
          <w:kern w:val="2"/>
          <w:sz w:val="28"/>
          <w:szCs w:val="28"/>
          <w:lang w:val="vi-VN"/>
        </w:rPr>
        <w:t>, đầu tư</w:t>
      </w:r>
      <w:r w:rsidR="00581148" w:rsidRPr="00566B21">
        <w:rPr>
          <w:rFonts w:ascii="Times New Roman" w:eastAsia="DengXian Light" w:hAnsi="Times New Roman" w:cs="Times New Roman"/>
          <w:b/>
          <w:color w:val="0D0D0D"/>
          <w:kern w:val="2"/>
          <w:sz w:val="28"/>
          <w:szCs w:val="28"/>
          <w:lang w:val="vi-VN"/>
        </w:rPr>
        <w:t xml:space="preserve"> Việt Nam - Trung Quốc </w:t>
      </w:r>
    </w:p>
    <w:p w14:paraId="0A3A4F3A" w14:textId="77777777" w:rsidR="00913F81" w:rsidRPr="00DD4289" w:rsidRDefault="00913F81"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566B21">
        <w:rPr>
          <w:rFonts w:ascii="Times New Roman" w:eastAsia="Times New Roman" w:hAnsi="Times New Roman" w:cs="Times New Roman"/>
          <w:sz w:val="28"/>
          <w:szCs w:val="28"/>
          <w:lang w:val="vi-VN"/>
        </w:rPr>
        <w:t xml:space="preserve">- </w:t>
      </w:r>
      <w:r w:rsidR="004B621A" w:rsidRPr="00DD4289">
        <w:rPr>
          <w:rFonts w:ascii="Times New Roman" w:eastAsia="Times New Roman" w:hAnsi="Times New Roman" w:cs="Times New Roman"/>
          <w:sz w:val="28"/>
          <w:szCs w:val="28"/>
          <w:lang w:val="vi-VN"/>
        </w:rPr>
        <w:t>Theo thống kê của hải quan Trung Quốc</w:t>
      </w:r>
      <w:r w:rsidR="004B621A" w:rsidRPr="00566B21">
        <w:rPr>
          <w:rFonts w:ascii="Times New Roman" w:eastAsia="Times New Roman" w:hAnsi="Times New Roman" w:cs="Times New Roman"/>
          <w:sz w:val="28"/>
          <w:szCs w:val="28"/>
          <w:lang w:val="vi-VN"/>
        </w:rPr>
        <w:t>,</w:t>
      </w:r>
      <w:r w:rsidR="004B621A" w:rsidRPr="00DD4289">
        <w:rPr>
          <w:rFonts w:ascii="Times New Roman" w:eastAsia="Times New Roman" w:hAnsi="Times New Roman" w:cs="Times New Roman"/>
          <w:sz w:val="28"/>
          <w:szCs w:val="28"/>
          <w:lang w:val="vi-VN"/>
        </w:rPr>
        <w:t xml:space="preserve"> </w:t>
      </w:r>
      <w:r w:rsidR="004B621A" w:rsidRPr="00566B21">
        <w:rPr>
          <w:rFonts w:ascii="Times New Roman" w:eastAsia="Times New Roman" w:hAnsi="Times New Roman" w:cs="Times New Roman"/>
          <w:sz w:val="28"/>
          <w:szCs w:val="28"/>
          <w:lang w:val="vi-VN"/>
        </w:rPr>
        <w:t>t</w:t>
      </w:r>
      <w:r w:rsidR="004B621A" w:rsidRPr="00DD4289">
        <w:rPr>
          <w:rFonts w:ascii="Times New Roman" w:eastAsia="Times New Roman" w:hAnsi="Times New Roman" w:cs="Times New Roman"/>
          <w:sz w:val="28"/>
          <w:szCs w:val="28"/>
          <w:lang w:val="vi-VN"/>
        </w:rPr>
        <w:t xml:space="preserve">rong năm 2025, </w:t>
      </w:r>
      <w:r w:rsidR="004B621A" w:rsidRPr="00566B21">
        <w:rPr>
          <w:rFonts w:ascii="Times New Roman" w:eastAsia="Times New Roman" w:hAnsi="Times New Roman" w:cs="Times New Roman"/>
          <w:sz w:val="28"/>
          <w:szCs w:val="28"/>
          <w:lang w:val="vi-VN"/>
        </w:rPr>
        <w:t xml:space="preserve">tổng </w:t>
      </w:r>
      <w:r w:rsidR="004B621A" w:rsidRPr="00DD4289">
        <w:rPr>
          <w:rFonts w:ascii="Times New Roman" w:eastAsia="Times New Roman" w:hAnsi="Times New Roman" w:cs="Times New Roman"/>
          <w:sz w:val="28"/>
          <w:szCs w:val="28"/>
          <w:lang w:val="vi-VN"/>
        </w:rPr>
        <w:t xml:space="preserve">kim ngạch xuất nhập khẩu Trung - Việt đạt </w:t>
      </w:r>
      <w:r w:rsidR="004B621A" w:rsidRPr="00DD4289">
        <w:rPr>
          <w:rFonts w:ascii="Times New Roman" w:eastAsia="Times New Roman" w:hAnsi="Times New Roman" w:cs="Times New Roman"/>
          <w:b/>
          <w:sz w:val="28"/>
          <w:szCs w:val="28"/>
          <w:lang w:val="vi-VN"/>
        </w:rPr>
        <w:t>296,1 tỷ USD</w:t>
      </w:r>
      <w:r w:rsidR="004B621A" w:rsidRPr="00DD4289">
        <w:rPr>
          <w:rFonts w:ascii="Times New Roman" w:eastAsia="Times New Roman" w:hAnsi="Times New Roman" w:cs="Times New Roman"/>
          <w:sz w:val="28"/>
          <w:szCs w:val="28"/>
          <w:lang w:val="vi-VN"/>
        </w:rPr>
        <w:t xml:space="preserve">, tăng </w:t>
      </w:r>
      <w:r w:rsidR="004B621A" w:rsidRPr="00DD4289">
        <w:rPr>
          <w:rFonts w:ascii="Times New Roman" w:eastAsia="Times New Roman" w:hAnsi="Times New Roman" w:cs="Times New Roman"/>
          <w:b/>
          <w:sz w:val="28"/>
          <w:szCs w:val="28"/>
          <w:lang w:val="vi-VN"/>
        </w:rPr>
        <w:t>13,7%</w:t>
      </w:r>
      <w:r w:rsidR="004B621A" w:rsidRPr="00DD4289">
        <w:rPr>
          <w:rFonts w:ascii="Times New Roman" w:eastAsia="Times New Roman" w:hAnsi="Times New Roman" w:cs="Times New Roman"/>
          <w:sz w:val="28"/>
          <w:szCs w:val="28"/>
          <w:lang w:val="vi-VN"/>
        </w:rPr>
        <w:t xml:space="preserve"> so với cùng kỳ năm 2024. Trong đó, kim ngạch xuất khẩu của Trung Quốc tới Việt Nam đạt </w:t>
      </w:r>
      <w:r w:rsidR="004B621A" w:rsidRPr="00DD4289">
        <w:rPr>
          <w:rFonts w:ascii="Times New Roman" w:eastAsia="Times New Roman" w:hAnsi="Times New Roman" w:cs="Times New Roman"/>
          <w:b/>
          <w:sz w:val="28"/>
          <w:szCs w:val="28"/>
          <w:lang w:val="vi-VN"/>
        </w:rPr>
        <w:t>198,1 tỷ</w:t>
      </w:r>
      <w:r w:rsidR="004B621A" w:rsidRPr="00DD4289">
        <w:rPr>
          <w:rFonts w:ascii="Times New Roman" w:eastAsia="Times New Roman" w:hAnsi="Times New Roman" w:cs="Times New Roman"/>
          <w:sz w:val="28"/>
          <w:szCs w:val="28"/>
          <w:lang w:val="vi-VN"/>
        </w:rPr>
        <w:t xml:space="preserve"> </w:t>
      </w:r>
      <w:r w:rsidR="004B621A" w:rsidRPr="00DD4289">
        <w:rPr>
          <w:rFonts w:ascii="Times New Roman" w:eastAsia="Times New Roman" w:hAnsi="Times New Roman" w:cs="Times New Roman"/>
          <w:b/>
          <w:sz w:val="28"/>
          <w:szCs w:val="28"/>
          <w:lang w:val="vi-VN"/>
        </w:rPr>
        <w:t>USD</w:t>
      </w:r>
      <w:r w:rsidR="004B621A" w:rsidRPr="00DD4289">
        <w:rPr>
          <w:rFonts w:ascii="Times New Roman" w:eastAsia="Times New Roman" w:hAnsi="Times New Roman" w:cs="Times New Roman"/>
          <w:sz w:val="28"/>
          <w:szCs w:val="28"/>
          <w:lang w:val="vi-VN"/>
        </w:rPr>
        <w:t xml:space="preserve">, tăng </w:t>
      </w:r>
      <w:r w:rsidR="004B621A" w:rsidRPr="00DD4289">
        <w:rPr>
          <w:rFonts w:ascii="Times New Roman" w:eastAsia="Times New Roman" w:hAnsi="Times New Roman" w:cs="Times New Roman"/>
          <w:b/>
          <w:sz w:val="28"/>
          <w:szCs w:val="28"/>
          <w:lang w:val="vi-VN"/>
        </w:rPr>
        <w:t>22,4%</w:t>
      </w:r>
      <w:r w:rsidR="004B621A" w:rsidRPr="00DD4289">
        <w:rPr>
          <w:rFonts w:ascii="Times New Roman" w:eastAsia="Times New Roman" w:hAnsi="Times New Roman" w:cs="Times New Roman"/>
          <w:sz w:val="28"/>
          <w:szCs w:val="28"/>
          <w:lang w:val="vi-VN"/>
        </w:rPr>
        <w:t xml:space="preserve">; nhập khẩu của Trung Quốc từ Việt Nam đạt </w:t>
      </w:r>
      <w:r w:rsidR="004B621A" w:rsidRPr="00DD4289">
        <w:rPr>
          <w:rFonts w:ascii="Times New Roman" w:eastAsia="Times New Roman" w:hAnsi="Times New Roman" w:cs="Times New Roman"/>
          <w:b/>
          <w:sz w:val="28"/>
          <w:szCs w:val="28"/>
          <w:lang w:val="vi-VN"/>
        </w:rPr>
        <w:t>97,9 tỷ USD</w:t>
      </w:r>
      <w:r w:rsidR="004B621A" w:rsidRPr="00DD4289">
        <w:rPr>
          <w:rFonts w:ascii="Times New Roman" w:eastAsia="Times New Roman" w:hAnsi="Times New Roman" w:cs="Times New Roman"/>
          <w:sz w:val="28"/>
          <w:szCs w:val="28"/>
          <w:lang w:val="vi-VN"/>
        </w:rPr>
        <w:t xml:space="preserve">, giảm </w:t>
      </w:r>
      <w:r w:rsidR="004B621A" w:rsidRPr="00DD4289">
        <w:rPr>
          <w:rFonts w:ascii="Times New Roman" w:eastAsia="Times New Roman" w:hAnsi="Times New Roman" w:cs="Times New Roman"/>
          <w:b/>
          <w:sz w:val="28"/>
          <w:szCs w:val="28"/>
          <w:lang w:val="vi-VN"/>
        </w:rPr>
        <w:t>0,7%</w:t>
      </w:r>
      <w:r w:rsidR="004B621A" w:rsidRPr="00DD4289">
        <w:rPr>
          <w:rFonts w:ascii="Times New Roman" w:eastAsia="Times New Roman" w:hAnsi="Times New Roman" w:cs="Times New Roman"/>
          <w:sz w:val="28"/>
          <w:szCs w:val="28"/>
          <w:lang w:val="vi-VN"/>
        </w:rPr>
        <w:t xml:space="preserve"> so với cùng kỳ năm 2024. Việt Nam là đối tác thương mại lớn nhất của Trung Quốc trong khối ASEAN và là quốc gia có quy mô thương mại lớn thứ tư của Trung Quốc trên toàn cầu.</w:t>
      </w:r>
      <w:bookmarkStart w:id="0" w:name="OLE_LINK2"/>
    </w:p>
    <w:p w14:paraId="4CBC358D" w14:textId="77777777" w:rsidR="00913F81" w:rsidRPr="00DD4289" w:rsidRDefault="00913F81"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 Trong năm 2025, </w:t>
      </w:r>
      <w:r w:rsidRPr="00DD4289">
        <w:rPr>
          <w:rFonts w:ascii="Times New Roman" w:hAnsi="Times New Roman" w:cs="Times New Roman"/>
          <w:sz w:val="28"/>
          <w:szCs w:val="28"/>
          <w:lang w:val="vi-VN"/>
        </w:rPr>
        <w:t xml:space="preserve">tổng vốn đầu tư Trung Quốc vào Việt Nam </w:t>
      </w:r>
      <w:r w:rsidRPr="00DD4289">
        <w:rPr>
          <w:rFonts w:ascii="Times New Roman" w:eastAsia="Times New Roman" w:hAnsi="Times New Roman" w:cs="Times New Roman"/>
          <w:sz w:val="28"/>
          <w:szCs w:val="28"/>
          <w:lang w:val="vi-VN"/>
        </w:rPr>
        <w:t xml:space="preserve">đạt </w:t>
      </w:r>
      <w:r w:rsidRPr="00DD4289">
        <w:rPr>
          <w:rFonts w:ascii="Times New Roman" w:eastAsia="Times New Roman" w:hAnsi="Times New Roman" w:cs="Times New Roman"/>
          <w:b/>
          <w:sz w:val="28"/>
          <w:szCs w:val="28"/>
          <w:lang w:val="vi-VN"/>
        </w:rPr>
        <w:t>3,64 tỷ USD</w:t>
      </w:r>
      <w:r w:rsidRPr="00DD4289">
        <w:rPr>
          <w:rFonts w:ascii="Times New Roman" w:eastAsia="Times New Roman" w:hAnsi="Times New Roman" w:cs="Times New Roman"/>
          <w:sz w:val="28"/>
          <w:szCs w:val="28"/>
          <w:lang w:val="vi-VN"/>
        </w:rPr>
        <w:t xml:space="preserve">, chiếm </w:t>
      </w:r>
      <w:r w:rsidRPr="00DD4289">
        <w:rPr>
          <w:rFonts w:ascii="Times New Roman" w:eastAsia="Times New Roman" w:hAnsi="Times New Roman" w:cs="Times New Roman"/>
          <w:b/>
          <w:sz w:val="28"/>
          <w:szCs w:val="28"/>
          <w:lang w:val="vi-VN"/>
        </w:rPr>
        <w:t>21%</w:t>
      </w:r>
      <w:r w:rsidRPr="00DD4289">
        <w:rPr>
          <w:rFonts w:ascii="Times New Roman" w:eastAsia="Times New Roman" w:hAnsi="Times New Roman" w:cs="Times New Roman"/>
          <w:sz w:val="28"/>
          <w:szCs w:val="28"/>
          <w:lang w:val="vi-VN"/>
        </w:rPr>
        <w:t xml:space="preserve"> tổng vốn đầu tư, xếp thứ 2 sau Singapore (4,84 tỷ USD). </w:t>
      </w:r>
    </w:p>
    <w:bookmarkEnd w:id="0"/>
    <w:p w14:paraId="01197A16" w14:textId="77777777" w:rsidR="00913F81" w:rsidRPr="00DD4289" w:rsidRDefault="00913F81"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Lũy kế đến ngày 31/12/2025, Trung Quốc hiện có 6.318 dự án đầu tư tại Việt Nam, đứng thứ 6 (sau Hàn Quốc, Singapore, Nhật Bản, Đài Loan, Hồng Công) với tổng vốn đầu tư đạt 34,99 tỷ USD. Đầu tư của Trung Quốc chiếm khoảng 6,6% tổng số vốn đầu tư đăng ký của nước ngoài vào Việt Nam. </w:t>
      </w:r>
    </w:p>
    <w:p w14:paraId="6CA51A60" w14:textId="5892320F" w:rsidR="00386CCF" w:rsidRPr="00DD4289" w:rsidRDefault="00581148" w:rsidP="00DD4289">
      <w:pPr>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eastAsia="DengXian Light" w:hAnsi="Times New Roman" w:cs="Times New Roman"/>
          <w:b/>
          <w:color w:val="0D0D0D"/>
          <w:kern w:val="2"/>
          <w:sz w:val="28"/>
          <w:szCs w:val="28"/>
          <w:lang w:val="sv-SE"/>
        </w:rPr>
        <w:t xml:space="preserve">2. </w:t>
      </w:r>
      <w:r w:rsidR="00386CCF" w:rsidRPr="00DD4289">
        <w:rPr>
          <w:rFonts w:ascii="Times New Roman" w:eastAsia="DengXian Light" w:hAnsi="Times New Roman" w:cs="Times New Roman"/>
          <w:b/>
          <w:bCs/>
          <w:color w:val="0D0D0D"/>
          <w:kern w:val="2"/>
          <w:sz w:val="28"/>
          <w:szCs w:val="28"/>
          <w:lang w:val="vi-VN"/>
        </w:rPr>
        <w:t xml:space="preserve">Bãi bỏ hoàn thuế VAT xuất khẩu đối với sản phẩm quang điện từ </w:t>
      </w:r>
    </w:p>
    <w:p w14:paraId="14F1CDE3" w14:textId="269D1FF7" w:rsidR="00386CCF" w:rsidRPr="00DD4289" w:rsidRDefault="00386CCF" w:rsidP="00DD4289">
      <w:pPr>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Bộ Tài chính và Tổng cục Thuế quốc gia Trung Quốc đã ban hành Thông báo số 2 năm 2026 về việc điều chỉnh chính sách hoàn thuế xuất khẩu đối với sản phẩm quang điện và các sản phẩm khác, cụ thể như sau:</w:t>
      </w:r>
    </w:p>
    <w:p w14:paraId="1B743E6E" w14:textId="1F31CA0D" w:rsidR="00386CCF" w:rsidRPr="00DD4289" w:rsidRDefault="00386CCF" w:rsidP="00DD4289">
      <w:pPr>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(i) Việc hoàn thuế VAT xuất khẩu đối với sản phẩm quang điện và các sản phẩm khác sẽ bị bãi bỏ từ ngày </w:t>
      </w:r>
      <w:r w:rsidR="00A6660E" w:rsidRPr="00A6660E">
        <w:rPr>
          <w:rFonts w:ascii="Times New Roman" w:hAnsi="Times New Roman" w:cs="Times New Roman"/>
          <w:bCs/>
          <w:sz w:val="28"/>
          <w:szCs w:val="28"/>
          <w:lang w:val="vi-VN"/>
        </w:rPr>
        <w:t>0</w:t>
      </w:r>
      <w:r w:rsidRPr="00DD4289">
        <w:rPr>
          <w:rFonts w:ascii="Times New Roman" w:hAnsi="Times New Roman" w:cs="Times New Roman"/>
          <w:bCs/>
          <w:sz w:val="28"/>
          <w:szCs w:val="28"/>
          <w:lang w:val="vi-VN"/>
        </w:rPr>
        <w:t xml:space="preserve">1/4/2026. </w:t>
      </w:r>
    </w:p>
    <w:p w14:paraId="558BC7F1" w14:textId="352608C3" w:rsidR="00386CCF" w:rsidRPr="00DD4289" w:rsidRDefault="00386CCF" w:rsidP="00DD4289">
      <w:pPr>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(ii) Từ ngày </w:t>
      </w:r>
      <w:r w:rsidR="00A6660E" w:rsidRPr="00A6660E">
        <w:rPr>
          <w:rFonts w:ascii="Times New Roman" w:hAnsi="Times New Roman" w:cs="Times New Roman"/>
          <w:bCs/>
          <w:sz w:val="28"/>
          <w:szCs w:val="28"/>
          <w:lang w:val="vi-VN"/>
        </w:rPr>
        <w:t>0</w:t>
      </w:r>
      <w:r w:rsidRPr="00DD4289">
        <w:rPr>
          <w:rFonts w:ascii="Times New Roman" w:hAnsi="Times New Roman" w:cs="Times New Roman"/>
          <w:bCs/>
          <w:sz w:val="28"/>
          <w:szCs w:val="28"/>
          <w:lang w:val="vi-VN"/>
        </w:rPr>
        <w:t>1/4/2026 đến ngày 31/12/2026, tỷ lệ hoàn thuế VAT xuất khẩu đối với sản phẩm pin sẽ giảm từ 9% xuố</w:t>
      </w:r>
      <w:r w:rsidR="00A6660E">
        <w:rPr>
          <w:rFonts w:ascii="Times New Roman" w:hAnsi="Times New Roman" w:cs="Times New Roman"/>
          <w:bCs/>
          <w:sz w:val="28"/>
          <w:szCs w:val="28"/>
          <w:lang w:val="vi-VN"/>
        </w:rPr>
        <w:t>ng 6%</w:t>
      </w:r>
      <w:r w:rsidR="00A6660E" w:rsidRPr="00A6660E">
        <w:rPr>
          <w:rFonts w:ascii="Times New Roman" w:hAnsi="Times New Roman" w:cs="Times New Roman"/>
          <w:bCs/>
          <w:sz w:val="28"/>
          <w:szCs w:val="28"/>
          <w:lang w:val="vi-VN"/>
        </w:rPr>
        <w:t>.</w:t>
      </w:r>
      <w:r w:rsidRPr="00DD4289">
        <w:rPr>
          <w:rFonts w:ascii="Times New Roman" w:hAnsi="Times New Roman" w:cs="Times New Roman"/>
          <w:bCs/>
          <w:sz w:val="28"/>
          <w:szCs w:val="28"/>
          <w:lang w:val="vi-VN"/>
        </w:rPr>
        <w:t xml:space="preserve"> Việc hoàn thuế VAT xuất khẩu đối với các sản phẩm pin sẽ bị bãi bỏ kể từ ngày 1/1/2027.</w:t>
      </w:r>
    </w:p>
    <w:p w14:paraId="6E825B6A" w14:textId="77777777" w:rsidR="00386CCF" w:rsidRPr="00DD4289" w:rsidRDefault="00386CCF" w:rsidP="00DD4289">
      <w:pPr>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 (iii). Đối với các sản phẩm chịu thuế tiêu thụ trong số các sản phẩm nêu trên, chính sách thuế tiêu thụ xuất khẩu sẽ vẫn không thay đổi, và chính sách hoàn thuế (miễn thuế) tiêu thụ vẫn tiếp tục được áp dụng. </w:t>
      </w:r>
    </w:p>
    <w:p w14:paraId="46D82235" w14:textId="21F38A41" w:rsidR="00386CCF" w:rsidRPr="00FC563B" w:rsidRDefault="00386CCF" w:rsidP="00DD4289">
      <w:pPr>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(iv). Tỷ lệ hoàn thuế xuất khẩu áp dụng cho các sản phẩm được liệt kê trong thông báo này sẽ được xác định theo ngày xuất khẩu ghi trên tờ khai hải quan xuất khẩu.</w:t>
      </w:r>
    </w:p>
    <w:p w14:paraId="3D1CE303" w14:textId="183DC4C1" w:rsidR="002A1B08" w:rsidRPr="00FC563B" w:rsidRDefault="002A1B08" w:rsidP="00DD4289">
      <w:pPr>
        <w:spacing w:before="60" w:after="60" w:line="360" w:lineRule="exact"/>
        <w:ind w:firstLine="720"/>
        <w:jc w:val="both"/>
        <w:rPr>
          <w:rFonts w:ascii="Times New Roman" w:hAnsi="Times New Roman" w:cs="Times New Roman"/>
          <w:b/>
          <w:bCs/>
          <w:sz w:val="28"/>
          <w:szCs w:val="28"/>
          <w:lang w:val="vi-VN"/>
        </w:rPr>
      </w:pPr>
      <w:r w:rsidRPr="00FC563B">
        <w:rPr>
          <w:rFonts w:ascii="Times New Roman" w:hAnsi="Times New Roman" w:cs="Times New Roman"/>
          <w:b/>
          <w:bCs/>
          <w:sz w:val="28"/>
          <w:szCs w:val="28"/>
          <w:lang w:val="vi-VN"/>
        </w:rPr>
        <w:t xml:space="preserve">3. Cơ hội xúc tiến thương mại, đầu tư </w:t>
      </w:r>
    </w:p>
    <w:p w14:paraId="1DD61981" w14:textId="7596CC2F" w:rsidR="00F2450C" w:rsidRPr="00373970" w:rsidRDefault="002A1B08" w:rsidP="002A1B08">
      <w:pPr>
        <w:spacing w:before="60" w:after="60" w:line="360" w:lineRule="exact"/>
        <w:ind w:firstLine="720"/>
        <w:jc w:val="both"/>
        <w:rPr>
          <w:rFonts w:ascii="Times New Roman" w:hAnsi="Times New Roman" w:cs="Times New Roman"/>
          <w:b/>
          <w:bCs/>
          <w:sz w:val="28"/>
          <w:szCs w:val="28"/>
          <w:lang w:val="vi-VN"/>
        </w:rPr>
      </w:pPr>
      <w:r w:rsidRPr="00FC563B">
        <w:rPr>
          <w:rFonts w:ascii="Times New Roman" w:hAnsi="Times New Roman" w:cs="Times New Roman"/>
          <w:b/>
          <w:bCs/>
          <w:sz w:val="28"/>
          <w:szCs w:val="28"/>
          <w:lang w:val="vi-VN"/>
        </w:rPr>
        <w:t xml:space="preserve">3.1. </w:t>
      </w:r>
      <w:r w:rsidR="00F2450C" w:rsidRPr="00373970">
        <w:rPr>
          <w:rFonts w:ascii="Times New Roman" w:hAnsi="Times New Roman" w:cs="Times New Roman"/>
          <w:b/>
          <w:bCs/>
          <w:sz w:val="28"/>
          <w:szCs w:val="28"/>
          <w:lang w:val="vi-VN"/>
        </w:rPr>
        <w:t>Triển lãm Nhập khẩu hàng hóa RCEP (Sơn Đông)</w:t>
      </w:r>
      <w:r w:rsidR="00F2450C" w:rsidRPr="002A1B08">
        <w:rPr>
          <w:rFonts w:ascii="Times New Roman" w:hAnsi="Times New Roman" w:cs="Times New Roman"/>
          <w:bCs/>
          <w:sz w:val="28"/>
          <w:szCs w:val="28"/>
          <w:lang w:val="vi-VN"/>
        </w:rPr>
        <w:t xml:space="preserve"> </w:t>
      </w:r>
    </w:p>
    <w:p w14:paraId="35242016" w14:textId="77777777" w:rsidR="002A1B08" w:rsidRPr="00FC563B"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Triển lãm Nhập khẩu hàng hóa RCEP (Sơn Đông) là triển lãm do Chính quyền thành phố Lâm Nghi và Sở Thương mại Sơn Đông phối hợp tổ chức. Đến nay, triển lãm đã được tổ chức 04 kỳ, lần đầu tiên vào năm 2020. Đây là triển lãm hàng hóa nhập khẩu duy nhất của tỉnh Sơn Đông lấy khu vực RCEP làm trung tâm, mục đích mở rộng nhập khẩu sản phẩm của 15 quốc gia trong khu </w:t>
      </w:r>
      <w:r w:rsidRPr="002A1B08">
        <w:rPr>
          <w:rFonts w:ascii="Times New Roman" w:hAnsi="Times New Roman" w:cs="Times New Roman"/>
          <w:bCs/>
          <w:sz w:val="28"/>
          <w:szCs w:val="28"/>
          <w:lang w:val="vi-VN"/>
        </w:rPr>
        <w:lastRenderedPageBreak/>
        <w:t>vực RCEP. Tại kỳ tổ chức năm 2025, triển lãm đã thu hút sự tham gia của 66 quốc gia và vùng lãnh thổ với 17 Khu gian hàng quốc gia.</w:t>
      </w:r>
      <w:r w:rsidRPr="002A1B08">
        <w:rPr>
          <w:rFonts w:ascii="Times New Roman" w:hAnsi="Times New Roman" w:cs="Times New Roman" w:hint="eastAsia"/>
          <w:bCs/>
          <w:sz w:val="28"/>
          <w:szCs w:val="28"/>
          <w:lang w:val="vi-VN"/>
        </w:rPr>
        <w:t xml:space="preserve"> </w:t>
      </w:r>
    </w:p>
    <w:p w14:paraId="399D3864" w14:textId="45EFACF4"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Thông tin về kỳ triển lãm năm 2026 như sau:</w:t>
      </w:r>
    </w:p>
    <w:p w14:paraId="5F891597" w14:textId="16CAF8FD" w:rsidR="00F2450C" w:rsidRPr="002A1B08" w:rsidRDefault="002A1B08"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 </w:t>
      </w:r>
      <w:r w:rsidR="00F2450C" w:rsidRPr="002A1B08">
        <w:rPr>
          <w:rFonts w:ascii="Times New Roman" w:hAnsi="Times New Roman" w:cs="Times New Roman"/>
          <w:bCs/>
          <w:sz w:val="28"/>
          <w:szCs w:val="28"/>
          <w:lang w:val="vi-VN"/>
        </w:rPr>
        <w:t>Quy mô: Tổng diện tích là 35</w:t>
      </w:r>
      <w:r w:rsidR="00F2450C" w:rsidRPr="002A1B08">
        <w:rPr>
          <w:rFonts w:ascii="Times New Roman" w:hAnsi="Times New Roman" w:cs="Times New Roman" w:hint="eastAsia"/>
          <w:bCs/>
          <w:sz w:val="28"/>
          <w:szCs w:val="28"/>
          <w:lang w:val="vi-VN"/>
        </w:rPr>
        <w:t>.000</w:t>
      </w:r>
      <w:r w:rsidR="00F2450C" w:rsidRPr="002A1B08">
        <w:rPr>
          <w:rFonts w:ascii="Times New Roman" w:hAnsi="Times New Roman" w:cs="Times New Roman"/>
          <w:bCs/>
          <w:sz w:val="28"/>
          <w:szCs w:val="28"/>
          <w:lang w:val="vi-VN"/>
        </w:rPr>
        <w:t xml:space="preserve"> m2, tương đương 1200 gian hàng tiêu chuẩn với 03 khu triển lãm chính, trong đó có Khu gian hàng các quốc gia RCEP. </w:t>
      </w:r>
    </w:p>
    <w:p w14:paraId="7D31A414" w14:textId="77777777" w:rsidR="002A1B08" w:rsidRPr="002A1B08" w:rsidRDefault="002A1B08"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 </w:t>
      </w:r>
      <w:r w:rsidR="00F2450C" w:rsidRPr="002A1B08">
        <w:rPr>
          <w:rFonts w:ascii="Times New Roman" w:hAnsi="Times New Roman" w:cs="Times New Roman"/>
          <w:bCs/>
          <w:sz w:val="28"/>
          <w:szCs w:val="28"/>
          <w:lang w:val="vi-VN"/>
        </w:rPr>
        <w:t xml:space="preserve">Thời gian: </w:t>
      </w:r>
      <w:r w:rsidRPr="002A1B08">
        <w:rPr>
          <w:rFonts w:ascii="Times New Roman" w:hAnsi="Times New Roman" w:cs="Times New Roman"/>
          <w:bCs/>
          <w:sz w:val="28"/>
          <w:szCs w:val="28"/>
          <w:lang w:val="vi-VN"/>
        </w:rPr>
        <w:t>T</w:t>
      </w:r>
      <w:r w:rsidR="00F2450C" w:rsidRPr="002A1B08">
        <w:rPr>
          <w:rFonts w:ascii="Times New Roman" w:hAnsi="Times New Roman" w:cs="Times New Roman"/>
          <w:bCs/>
          <w:sz w:val="28"/>
          <w:szCs w:val="28"/>
          <w:lang w:val="vi-VN"/>
        </w:rPr>
        <w:t>ừ</w:t>
      </w:r>
      <w:r w:rsidRPr="002A1B08">
        <w:rPr>
          <w:rFonts w:ascii="Times New Roman" w:hAnsi="Times New Roman" w:cs="Times New Roman"/>
          <w:bCs/>
          <w:sz w:val="28"/>
          <w:szCs w:val="28"/>
          <w:lang w:val="vi-VN"/>
        </w:rPr>
        <w:t xml:space="preserve"> 20 - 22/4/2026. </w:t>
      </w:r>
    </w:p>
    <w:p w14:paraId="2F30DEE4" w14:textId="77777777" w:rsidR="00373970" w:rsidRPr="00373970" w:rsidRDefault="002A1B08" w:rsidP="00373970">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 </w:t>
      </w:r>
      <w:r w:rsidR="00F2450C" w:rsidRPr="002A1B08">
        <w:rPr>
          <w:rFonts w:ascii="Times New Roman" w:hAnsi="Times New Roman" w:cs="Times New Roman"/>
          <w:bCs/>
          <w:sz w:val="28"/>
          <w:szCs w:val="28"/>
          <w:lang w:val="vi-VN"/>
        </w:rPr>
        <w:t>Ngành hàng: Tổng hợp</w:t>
      </w:r>
    </w:p>
    <w:p w14:paraId="1107B12A" w14:textId="77777777" w:rsidR="00373970" w:rsidRPr="00373970" w:rsidRDefault="00373970" w:rsidP="00373970">
      <w:pPr>
        <w:spacing w:before="60" w:after="60" w:line="360" w:lineRule="exact"/>
        <w:ind w:firstLine="720"/>
        <w:jc w:val="both"/>
        <w:rPr>
          <w:rFonts w:ascii="Times New Roman" w:hAnsi="Times New Roman" w:cs="Times New Roman"/>
          <w:bCs/>
          <w:sz w:val="28"/>
          <w:szCs w:val="28"/>
          <w:lang w:val="vi-VN"/>
        </w:rPr>
      </w:pPr>
      <w:r w:rsidRPr="00373970">
        <w:rPr>
          <w:rFonts w:ascii="Times New Roman" w:hAnsi="Times New Roman" w:cs="Times New Roman"/>
          <w:bCs/>
          <w:sz w:val="28"/>
          <w:szCs w:val="28"/>
          <w:lang w:val="vi-VN"/>
        </w:rPr>
        <w:t xml:space="preserve">- </w:t>
      </w:r>
      <w:r w:rsidR="00F2450C" w:rsidRPr="002A1B08">
        <w:rPr>
          <w:rFonts w:ascii="Times New Roman" w:hAnsi="Times New Roman" w:cs="Times New Roman"/>
          <w:bCs/>
          <w:sz w:val="28"/>
          <w:szCs w:val="28"/>
          <w:lang w:val="vi-VN"/>
        </w:rPr>
        <w:t xml:space="preserve">Thông tin liên hệ: Thương vụ Việt Nam tại Trung Quốc, </w:t>
      </w:r>
      <w:r w:rsidR="00F2450C" w:rsidRPr="00373970">
        <w:rPr>
          <w:rFonts w:ascii="Times New Roman" w:hAnsi="Times New Roman" w:cs="Times New Roman"/>
          <w:bCs/>
          <w:sz w:val="28"/>
          <w:szCs w:val="28"/>
          <w:lang w:val="vi-VN"/>
        </w:rPr>
        <w:t>Email:</w:t>
      </w:r>
      <w:r w:rsidR="00F2450C" w:rsidRPr="002A1B08">
        <w:rPr>
          <w:rFonts w:ascii="Times New Roman" w:hAnsi="Times New Roman" w:cs="Times New Roman"/>
          <w:bCs/>
          <w:sz w:val="28"/>
          <w:szCs w:val="28"/>
          <w:lang w:val="vi-VN"/>
        </w:rPr>
        <w:t xml:space="preserve"> </w:t>
      </w:r>
      <w:r w:rsidRPr="00373970">
        <w:rPr>
          <w:rFonts w:ascii="Times New Roman" w:hAnsi="Times New Roman" w:cs="Times New Roman"/>
          <w:bCs/>
          <w:sz w:val="28"/>
          <w:szCs w:val="28"/>
          <w:lang w:val="vi-VN"/>
        </w:rPr>
        <w:t xml:space="preserve">cn@moit.gov.vn. </w:t>
      </w:r>
    </w:p>
    <w:p w14:paraId="35B25BC6" w14:textId="5D100D43" w:rsidR="00F2450C" w:rsidRPr="00373970" w:rsidRDefault="00373970" w:rsidP="00373970">
      <w:pPr>
        <w:spacing w:before="60" w:after="60" w:line="360" w:lineRule="exact"/>
        <w:ind w:firstLine="720"/>
        <w:jc w:val="both"/>
        <w:rPr>
          <w:rFonts w:ascii="Times New Roman" w:hAnsi="Times New Roman" w:cs="Times New Roman"/>
          <w:b/>
          <w:bCs/>
          <w:sz w:val="28"/>
          <w:szCs w:val="28"/>
          <w:lang w:val="vi-VN"/>
        </w:rPr>
      </w:pPr>
      <w:r w:rsidRPr="00373970">
        <w:rPr>
          <w:rFonts w:ascii="Times New Roman" w:hAnsi="Times New Roman" w:cs="Times New Roman"/>
          <w:b/>
          <w:bCs/>
          <w:sz w:val="28"/>
          <w:szCs w:val="28"/>
          <w:lang w:val="vi-VN"/>
        </w:rPr>
        <w:t xml:space="preserve">3.2. </w:t>
      </w:r>
      <w:r w:rsidR="00F2450C" w:rsidRPr="00373970">
        <w:rPr>
          <w:rFonts w:ascii="Times New Roman" w:hAnsi="Times New Roman" w:cs="Times New Roman"/>
          <w:b/>
          <w:bCs/>
          <w:sz w:val="28"/>
          <w:szCs w:val="28"/>
          <w:lang w:val="vi-VN"/>
        </w:rPr>
        <w:t>Nền tảng hệ sinh thái khởi nghiệp HICOOL và cơ hội dành cho các doanh nghiệp khởi nghiệp Việt Nam</w:t>
      </w:r>
    </w:p>
    <w:p w14:paraId="16778D81" w14:textId="77777777"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HICOOL là nền tảng hệ sinh thái khởi nghiệp toàn diện do Hiệp hội Nhân tài nước ngoài Bắc Kinh quản lý. Thông qua hệ thống đa chiều và mang tính quốc tế bao gồm cuộc thi/hội nghị Thượng đỉnh doanh nghiệp toàn cầu, trường đào tạo kinh doanh, khu công nghiệp, dịch vụ quản lý, quỹ đầu tư và nền tảng kỹ thuật số HICOOL@ONLINE, HICOOL tạo điều kiện cho các doanh nhân và doanh nghiệp khởi nghiệp đặt cơ sở và phát triển tại Bắc Kinh. Dựa trên mạng lưới đối tác toàn cầu, HICOOL xây dựng một nền tảng kết nối thông tin và nguồn lực cho hệ sinh thái khởi nghiệp. Tất cả các bên trong chuỗi giá trị có thể kết nối với nhau thông qua các dịch vụ của HICOOL.</w:t>
      </w:r>
    </w:p>
    <w:p w14:paraId="037C47C9" w14:textId="29C4C6B1"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Cuộc Thi Khởi Nghiệp Toàn Cầu HICOOL - được tạo ra dành riêng cho các doanh nhân và cam kết xây dựng một mô hình khởi nghiệp quốc tế đa tầng, đa chiều và đa dạng. HICOOL tìm kiếm các dự án chất lượng cao trên toàn cầu để hỗ trợ phát triển nhanh chóng tại Bắc Kinh. Sau 05 năm triển khai</w:t>
      </w:r>
      <w:r w:rsidR="00373970">
        <w:rPr>
          <w:rFonts w:ascii="Times New Roman" w:hAnsi="Times New Roman" w:cs="Times New Roman"/>
          <w:bCs/>
          <w:sz w:val="28"/>
          <w:szCs w:val="28"/>
          <w:lang w:val="vi-VN"/>
        </w:rPr>
        <w:t xml:space="preserve">, </w:t>
      </w:r>
      <w:r w:rsidR="00373970" w:rsidRPr="00373970">
        <w:rPr>
          <w:rFonts w:ascii="Times New Roman" w:hAnsi="Times New Roman" w:cs="Times New Roman"/>
          <w:bCs/>
          <w:sz w:val="28"/>
          <w:szCs w:val="28"/>
          <w:lang w:val="vi-VN"/>
        </w:rPr>
        <w:t>c</w:t>
      </w:r>
      <w:r w:rsidRPr="002A1B08">
        <w:rPr>
          <w:rFonts w:ascii="Times New Roman" w:hAnsi="Times New Roman" w:cs="Times New Roman"/>
          <w:bCs/>
          <w:sz w:val="28"/>
          <w:szCs w:val="28"/>
          <w:lang w:val="vi-VN"/>
        </w:rPr>
        <w:t xml:space="preserve">uộc Thi Khởi Nghiệp Toàn Cầu HICOOL đã phát triển thành một sự kiện quốc tế sáng tạo có ảnh hưởng toàn cầu. Trong 05 năm, đã có gần 160 dự án khởi nghiệp của Việt Nam tham gia cuộc thi. </w:t>
      </w:r>
    </w:p>
    <w:p w14:paraId="51DAAD28" w14:textId="1CFAD374"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Hội nghị Thượng đỉnh Doanh nhân Toàn cầu HICOOL 2026 dự kiến diễn </w:t>
      </w:r>
      <w:r w:rsidR="00373970">
        <w:rPr>
          <w:rFonts w:ascii="Times New Roman" w:hAnsi="Times New Roman" w:cs="Times New Roman"/>
          <w:bCs/>
          <w:sz w:val="28"/>
          <w:szCs w:val="28"/>
          <w:lang w:val="vi-VN"/>
        </w:rPr>
        <w:t xml:space="preserve">ra vào tháng </w:t>
      </w:r>
      <w:r w:rsidR="00373970" w:rsidRPr="007E5780">
        <w:rPr>
          <w:rFonts w:ascii="Times New Roman" w:hAnsi="Times New Roman" w:cs="Times New Roman"/>
          <w:b/>
          <w:bCs/>
          <w:sz w:val="28"/>
          <w:szCs w:val="28"/>
          <w:lang w:val="vi-VN"/>
        </w:rPr>
        <w:t>9/</w:t>
      </w:r>
      <w:r w:rsidRPr="007E5780">
        <w:rPr>
          <w:rFonts w:ascii="Times New Roman" w:hAnsi="Times New Roman" w:cs="Times New Roman"/>
          <w:b/>
          <w:bCs/>
          <w:sz w:val="28"/>
          <w:szCs w:val="28"/>
          <w:lang w:val="vi-VN"/>
        </w:rPr>
        <w:t>2026</w:t>
      </w:r>
      <w:r w:rsidRPr="002A1B08">
        <w:rPr>
          <w:rFonts w:ascii="Times New Roman" w:hAnsi="Times New Roman" w:cs="Times New Roman"/>
          <w:bCs/>
          <w:sz w:val="28"/>
          <w:szCs w:val="28"/>
          <w:lang w:val="vi-VN"/>
        </w:rPr>
        <w:t> tại Trung tâm Hội nghị và Triển lãm Quốc tế Thủ đô Bắc Kinh, tập trung vào xu hướng đổi mới sáng tạo và khởi nghiệp trong các lĩnh vực công nghệ tiên phong như trí tuệ nhân tạo và robot hình người, thông tin lượng tử và y sinh. Sự kiện dự kiến quy tụ hơn 10,000 nhà sáng lập, hơn 3,000 nhà đầu tư và hơn 50,000 chuyên gia từ hệ sinh thái đổi mới sáng tạo và khởi nghiệp.</w:t>
      </w:r>
    </w:p>
    <w:p w14:paraId="553FEB9B" w14:textId="103E6A29" w:rsidR="000E06AE" w:rsidRPr="000E06AE" w:rsidRDefault="00F2450C" w:rsidP="000E06AE">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Thông tin liên hệ tìm hiểu và đăng ký tham dự cuộc thi: </w:t>
      </w:r>
      <w:hyperlink r:id="rId11" w:history="1">
        <w:r w:rsidRPr="007E5780">
          <w:rPr>
            <w:rFonts w:ascii="Times New Roman" w:hAnsi="Times New Roman" w:cs="Times New Roman"/>
            <w:bCs/>
            <w:sz w:val="28"/>
            <w:szCs w:val="28"/>
            <w:lang w:val="vi-VN"/>
          </w:rPr>
          <w:t>contact@hicool.com</w:t>
        </w:r>
      </w:hyperlink>
      <w:r w:rsidRPr="002A1B08">
        <w:rPr>
          <w:rFonts w:ascii="Times New Roman" w:hAnsi="Times New Roman" w:cs="Times New Roman"/>
          <w:bCs/>
          <w:sz w:val="28"/>
          <w:szCs w:val="28"/>
          <w:lang w:val="vi-VN"/>
        </w:rPr>
        <w:t>; +86 13466714105</w:t>
      </w:r>
      <w:r w:rsidR="007E5780" w:rsidRPr="007E5780">
        <w:rPr>
          <w:rFonts w:ascii="Times New Roman" w:hAnsi="Times New Roman" w:cs="Times New Roman"/>
          <w:bCs/>
          <w:sz w:val="28"/>
          <w:szCs w:val="28"/>
          <w:lang w:val="vi-VN"/>
        </w:rPr>
        <w:t xml:space="preserve">. </w:t>
      </w:r>
    </w:p>
    <w:p w14:paraId="457B59FF" w14:textId="77777777" w:rsidR="000E06AE" w:rsidRPr="000E06AE" w:rsidRDefault="000E06AE" w:rsidP="000E06AE">
      <w:pPr>
        <w:spacing w:before="60" w:after="60" w:line="360" w:lineRule="exact"/>
        <w:ind w:firstLine="720"/>
        <w:jc w:val="both"/>
        <w:rPr>
          <w:rFonts w:ascii="Times New Roman" w:hAnsi="Times New Roman" w:cs="Times New Roman"/>
          <w:bCs/>
          <w:sz w:val="28"/>
          <w:szCs w:val="28"/>
          <w:lang w:val="vi-VN"/>
        </w:rPr>
      </w:pPr>
    </w:p>
    <w:p w14:paraId="04FE6BBE" w14:textId="71DE10F3" w:rsidR="00F2450C" w:rsidRPr="007E5780" w:rsidRDefault="007E5780" w:rsidP="007E5780">
      <w:pPr>
        <w:spacing w:before="60" w:after="60" w:line="360" w:lineRule="exact"/>
        <w:ind w:firstLine="720"/>
        <w:jc w:val="both"/>
        <w:rPr>
          <w:rFonts w:ascii="Times New Roman" w:hAnsi="Times New Roman" w:cs="Times New Roman"/>
          <w:b/>
          <w:bCs/>
          <w:sz w:val="28"/>
          <w:szCs w:val="28"/>
          <w:lang w:val="vi-VN"/>
        </w:rPr>
      </w:pPr>
      <w:r w:rsidRPr="007E5780">
        <w:rPr>
          <w:rFonts w:ascii="Times New Roman" w:hAnsi="Times New Roman" w:cs="Times New Roman"/>
          <w:b/>
          <w:bCs/>
          <w:sz w:val="28"/>
          <w:szCs w:val="28"/>
          <w:lang w:val="vi-VN"/>
        </w:rPr>
        <w:lastRenderedPageBreak/>
        <w:t xml:space="preserve">3.3. </w:t>
      </w:r>
      <w:r w:rsidR="00F2450C" w:rsidRPr="007E5780">
        <w:rPr>
          <w:rFonts w:ascii="Times New Roman" w:hAnsi="Times New Roman" w:cs="Times New Roman"/>
          <w:b/>
          <w:bCs/>
          <w:sz w:val="28"/>
          <w:szCs w:val="28"/>
          <w:lang w:val="vi-VN"/>
        </w:rPr>
        <w:t>Hội nghị cấp cao các nhà lãnh đạo công ty xuyên quốc gia lần thứ 7 tại Thanh Đảo</w:t>
      </w:r>
    </w:p>
    <w:p w14:paraId="2F780176" w14:textId="77777777"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Hội nghị thượng đỉnh các nhà lãnh đạo công ty xuyên quốc gia tại Thanh Đảo được tổ chức lần đầu tiên năm 2019, định kỳ một năm một lần và đến nay đã tiến hành được 06 kỳ. Năm 2026, chương trình được tổ chức lần thứ 7 với thời gian dự kiến từ ngày </w:t>
      </w:r>
      <w:r w:rsidRPr="007E5780">
        <w:rPr>
          <w:rFonts w:ascii="Times New Roman" w:hAnsi="Times New Roman" w:cs="Times New Roman"/>
          <w:b/>
          <w:bCs/>
          <w:sz w:val="28"/>
          <w:szCs w:val="28"/>
          <w:lang w:val="vi-VN"/>
        </w:rPr>
        <w:t>09-11/6/2026</w:t>
      </w:r>
      <w:r w:rsidRPr="002A1B08">
        <w:rPr>
          <w:rFonts w:ascii="Times New Roman" w:hAnsi="Times New Roman" w:cs="Times New Roman"/>
          <w:bCs/>
          <w:sz w:val="28"/>
          <w:szCs w:val="28"/>
          <w:lang w:val="vi-VN"/>
        </w:rPr>
        <w:t>.</w:t>
      </w:r>
    </w:p>
    <w:p w14:paraId="29DCD081" w14:textId="77777777"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Qua các kỳ tổ chức, chương trình đã thu hút được sự tham gia của nhiều tập đoàn xuyên quốc gia trên thế giới và thúc đẩy nhiều dự án hợp tác thực chất. Lũy kế đến hết kỳ thứ 6, chương trình đã thu hút hơn 400 công ty xuyên quốc gia thuộc danh sách Fortune 500, hơn 1200 doanh nghiệp hàng đầu trong các lĩnh vực với hơn 3000 đại biểu trên toàn cầu. Chương trình nhằm xây dựng cơ chế trao đổi giữa các tập đoàn xuyên quốc gia và chính phủ Trung Quốc. Các hình thức hoạt động chính bao gồm đối thoại trao đổi giữa cơ quan chức năng Trung Quốc và lãnh đạo các công ty xuyên quốc gia về các chính sách có liên quan đến hoạt động đầu tư nước ngoài nhằm hoàn thiện hơn nữa các cơ chế quản lý, giám sát, hỗ trợ doanh nghiệp xuyên quốc gia; hội thảo chuyên đề trao đổi về các chủ đề nóng trong lĩnh vực kinh tế và thương mại toàn cầu; diễn đàn giao thương, kết nối doanh nghiệp, xúc tiến thương mại, đầu tư.</w:t>
      </w:r>
    </w:p>
    <w:p w14:paraId="1737A707" w14:textId="77777777"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Thông tin liên hệ tìm hiểu và đăng ký tham gia chương trình: </w:t>
      </w:r>
    </w:p>
    <w:p w14:paraId="4D0F79EE" w14:textId="77777777"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 xml:space="preserve">Website: </w:t>
      </w:r>
      <w:hyperlink r:id="rId12" w:history="1">
        <w:r w:rsidRPr="002A1B08">
          <w:rPr>
            <w:rFonts w:ascii="Times New Roman" w:hAnsi="Times New Roman" w:cs="Times New Roman"/>
            <w:sz w:val="28"/>
            <w:szCs w:val="28"/>
            <w:lang w:val="vi-VN"/>
          </w:rPr>
          <w:t>http://register.mncsummit.org.cn</w:t>
        </w:r>
      </w:hyperlink>
    </w:p>
    <w:p w14:paraId="65C576C0" w14:textId="77777777" w:rsidR="00F2450C" w:rsidRPr="002A1B08" w:rsidRDefault="00F2450C" w:rsidP="002A1B08">
      <w:pPr>
        <w:spacing w:before="60" w:after="60" w:line="360" w:lineRule="exact"/>
        <w:ind w:firstLine="720"/>
        <w:jc w:val="both"/>
        <w:rPr>
          <w:rFonts w:ascii="Times New Roman" w:hAnsi="Times New Roman" w:cs="Times New Roman"/>
          <w:bCs/>
          <w:sz w:val="28"/>
          <w:szCs w:val="28"/>
          <w:lang w:val="vi-VN"/>
        </w:rPr>
      </w:pPr>
      <w:r w:rsidRPr="002A1B08">
        <w:rPr>
          <w:rFonts w:ascii="Times New Roman" w:hAnsi="Times New Roman" w:cs="Times New Roman"/>
          <w:bCs/>
          <w:sz w:val="28"/>
          <w:szCs w:val="28"/>
          <w:lang w:val="vi-VN"/>
        </w:rPr>
        <w:t>Số điện thoại: +86 053281113001</w:t>
      </w:r>
    </w:p>
    <w:p w14:paraId="3418287D" w14:textId="1B39FF7C" w:rsidR="00F2450C" w:rsidRPr="007E5780" w:rsidRDefault="00F2450C" w:rsidP="007E5780">
      <w:pPr>
        <w:spacing w:before="60" w:after="60" w:line="360" w:lineRule="exact"/>
        <w:ind w:firstLine="720"/>
        <w:jc w:val="both"/>
        <w:rPr>
          <w:rFonts w:ascii="Times New Roman" w:hAnsi="Times New Roman" w:cs="Times New Roman"/>
          <w:bCs/>
          <w:sz w:val="28"/>
          <w:szCs w:val="28"/>
        </w:rPr>
      </w:pPr>
      <w:r w:rsidRPr="002A1B08">
        <w:rPr>
          <w:rFonts w:ascii="Times New Roman" w:hAnsi="Times New Roman" w:cs="Times New Roman"/>
          <w:bCs/>
          <w:sz w:val="28"/>
          <w:szCs w:val="28"/>
          <w:lang w:val="vi-VN"/>
        </w:rPr>
        <w:t>Email: qms-info@mncsummit.org.cn</w:t>
      </w:r>
    </w:p>
    <w:p w14:paraId="2FF4813F" w14:textId="47404399" w:rsidR="00121012" w:rsidRPr="00DD4289" w:rsidRDefault="004C38A3"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hAnsi="Times New Roman" w:cs="Times New Roman"/>
          <w:b/>
          <w:color w:val="000000" w:themeColor="text1"/>
          <w:sz w:val="28"/>
          <w:szCs w:val="28"/>
          <w:lang w:val="vi-VN"/>
        </w:rPr>
        <w:t xml:space="preserve">III. Quan hệ kinh tế đối ngoại giữa </w:t>
      </w:r>
      <w:r w:rsidRPr="00DD4289">
        <w:rPr>
          <w:rFonts w:ascii="Times New Roman" w:hAnsi="Times New Roman" w:cs="Times New Roman"/>
          <w:b/>
          <w:bCs/>
          <w:color w:val="000000" w:themeColor="text1"/>
          <w:sz w:val="28"/>
          <w:szCs w:val="28"/>
          <w:lang w:val="vi-VN"/>
        </w:rPr>
        <w:t>Trung Quốc</w:t>
      </w:r>
      <w:r w:rsidRPr="00DD4289">
        <w:rPr>
          <w:rFonts w:ascii="Times New Roman" w:hAnsi="Times New Roman" w:cs="Times New Roman"/>
          <w:color w:val="000000" w:themeColor="text1"/>
          <w:sz w:val="28"/>
          <w:szCs w:val="28"/>
          <w:lang w:val="vi-VN"/>
        </w:rPr>
        <w:t xml:space="preserve"> </w:t>
      </w:r>
      <w:r w:rsidRPr="00DD4289">
        <w:rPr>
          <w:rFonts w:ascii="Times New Roman" w:hAnsi="Times New Roman" w:cs="Times New Roman"/>
          <w:b/>
          <w:color w:val="000000" w:themeColor="text1"/>
          <w:sz w:val="28"/>
          <w:szCs w:val="28"/>
          <w:lang w:val="vi-VN"/>
        </w:rPr>
        <w:t xml:space="preserve">và các nước </w:t>
      </w:r>
    </w:p>
    <w:p w14:paraId="3CD1CC21" w14:textId="6B0545E7" w:rsidR="00121012" w:rsidRPr="00566B21" w:rsidRDefault="006B6A28" w:rsidP="00DD4289">
      <w:pPr>
        <w:adjustRightInd w:val="0"/>
        <w:snapToGrid w:val="0"/>
        <w:spacing w:before="60" w:after="60" w:line="360" w:lineRule="exact"/>
        <w:ind w:firstLine="720"/>
        <w:jc w:val="both"/>
        <w:rPr>
          <w:rFonts w:ascii="Times New Roman" w:eastAsia="DengXian Light" w:hAnsi="Times New Roman" w:cs="Times New Roman"/>
          <w:b/>
          <w:color w:val="0D0D0D"/>
          <w:kern w:val="2"/>
          <w:sz w:val="28"/>
          <w:szCs w:val="28"/>
          <w:lang w:val="vi-VN"/>
        </w:rPr>
      </w:pPr>
      <w:r w:rsidRPr="00DD4289">
        <w:rPr>
          <w:rFonts w:ascii="Times New Roman" w:eastAsia="DengXian Light" w:hAnsi="Times New Roman" w:cs="Times New Roman"/>
          <w:b/>
          <w:color w:val="0D0D0D"/>
          <w:kern w:val="2"/>
          <w:sz w:val="28"/>
          <w:szCs w:val="28"/>
          <w:lang w:val="vi-VN"/>
        </w:rPr>
        <w:t xml:space="preserve">1. </w:t>
      </w:r>
      <w:r w:rsidR="00672650" w:rsidRPr="00566B21">
        <w:rPr>
          <w:rFonts w:ascii="Times New Roman" w:eastAsia="DengXian Light" w:hAnsi="Times New Roman" w:cs="Times New Roman"/>
          <w:b/>
          <w:color w:val="0D0D0D"/>
          <w:kern w:val="2"/>
          <w:sz w:val="28"/>
          <w:szCs w:val="28"/>
          <w:lang w:val="vi-VN"/>
        </w:rPr>
        <w:t xml:space="preserve">Với Mỹ </w:t>
      </w:r>
    </w:p>
    <w:p w14:paraId="5F968928" w14:textId="77777777" w:rsidR="007D6536" w:rsidRPr="00DD4289" w:rsidRDefault="00121012" w:rsidP="00DD4289">
      <w:pPr>
        <w:adjustRightInd w:val="0"/>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eastAsia="DengXian Light" w:hAnsi="Times New Roman" w:cs="Times New Roman"/>
          <w:b/>
          <w:color w:val="0D0D0D"/>
          <w:kern w:val="2"/>
          <w:sz w:val="28"/>
          <w:szCs w:val="28"/>
          <w:lang w:val="vi-VN"/>
        </w:rPr>
        <w:t xml:space="preserve">- </w:t>
      </w:r>
      <w:r w:rsidR="00D45FF6" w:rsidRPr="00DD4289">
        <w:rPr>
          <w:rFonts w:ascii="Times New Roman" w:hAnsi="Times New Roman" w:cs="Times New Roman"/>
          <w:bCs/>
          <w:sz w:val="28"/>
          <w:szCs w:val="28"/>
          <w:lang w:val="vi-VN"/>
        </w:rPr>
        <w:t>Liên quan việc xem xét thương vụ Meta mua lại nền tảng trí tuệ nhân tạo Manus, n</w:t>
      </w:r>
      <w:r w:rsidRPr="00DD4289">
        <w:rPr>
          <w:rFonts w:ascii="Times New Roman" w:hAnsi="Times New Roman" w:cs="Times New Roman"/>
          <w:bCs/>
          <w:sz w:val="28"/>
          <w:szCs w:val="28"/>
          <w:lang w:val="vi-VN"/>
        </w:rPr>
        <w:t>gày 08/01/2026, tại cuộc họp báo thường kỳ Bộ Thương mại Trung Quốc, người phát ngôn Bộ Thương mại Hà Á Đông cho biết chính phủ Trung Quốc luôn ủng hộ các doanh nghiệp thực hiện các hoạt động xuyên quốc gia cùng có lợi và hợp tác công nghệ quốc tế theo đúng luật pháp và quy định. Cần lưu ý rằng các doanh nghiệp tham gia đầu tư ở nước ngoài, xuất khẩu công nghệ, xuất khẩu dữ liệu, sáp nhập và mua lại xuyên biên giới phải tuân thủ luật pháp và quy định của Trung Quốc và tuân theo các thủ tục pháp lý. Bộ Thương mại Trung Quốc sẽ phối hợp với các bộ phận liên quan để tiến hành đánh giá và điều tra tính phù hợp của thương vụ mua lại này với các luật và quy định liên quan đến kiểm soát xuất khẩu, nhập khẩu và xuất khẩu công nghệ và đầu tư ở nước ngoài.</w:t>
      </w:r>
    </w:p>
    <w:p w14:paraId="015D5B18" w14:textId="3DC66A38" w:rsidR="00672650" w:rsidRPr="00566B21" w:rsidRDefault="007D6536" w:rsidP="00DD4289">
      <w:pPr>
        <w:adjustRightInd w:val="0"/>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 Ngày 12/01/2026, trong bài đăng trên mạng xã hội Truth Social, Tổng thống Mỹ Donald Trump tuyên bố </w:t>
      </w:r>
      <w:r w:rsidR="00672650" w:rsidRPr="00DD4289">
        <w:rPr>
          <w:rFonts w:ascii="Times New Roman" w:hAnsi="Times New Roman" w:cs="Times New Roman"/>
          <w:bCs/>
          <w:sz w:val="28"/>
          <w:szCs w:val="28"/>
          <w:lang w:val="vi-VN"/>
        </w:rPr>
        <w:t xml:space="preserve">áp thuế 25% đối với các đối tác thương mại của Iran. </w:t>
      </w:r>
    </w:p>
    <w:p w14:paraId="0A0DE702" w14:textId="6CF7358E" w:rsidR="00410F52" w:rsidRPr="00DD4289" w:rsidRDefault="00672650" w:rsidP="00DD4289">
      <w:pPr>
        <w:adjustRightInd w:val="0"/>
        <w:snapToGrid w:val="0"/>
        <w:spacing w:before="60" w:after="60" w:line="360" w:lineRule="exact"/>
        <w:ind w:firstLine="720"/>
        <w:jc w:val="both"/>
        <w:rPr>
          <w:rFonts w:ascii="Times New Roman" w:hAnsi="Times New Roman" w:cs="Times New Roman"/>
          <w:bCs/>
          <w:sz w:val="28"/>
          <w:szCs w:val="28"/>
          <w:lang w:val="vi-VN"/>
        </w:rPr>
      </w:pPr>
      <w:r w:rsidRPr="00566B21">
        <w:rPr>
          <w:rFonts w:ascii="Times New Roman" w:hAnsi="Times New Roman" w:cs="Times New Roman"/>
          <w:bCs/>
          <w:sz w:val="28"/>
          <w:szCs w:val="28"/>
          <w:lang w:val="vi-VN"/>
        </w:rPr>
        <w:lastRenderedPageBreak/>
        <w:t xml:space="preserve">Phản ứng trước động thái trên, </w:t>
      </w:r>
      <w:r w:rsidR="007D6536" w:rsidRPr="00DD4289">
        <w:rPr>
          <w:rFonts w:ascii="Times New Roman" w:hAnsi="Times New Roman" w:cs="Times New Roman"/>
          <w:bCs/>
          <w:sz w:val="28"/>
          <w:szCs w:val="28"/>
          <w:lang w:val="vi-VN"/>
        </w:rPr>
        <w:t>tại cuộc họp báo thường k</w:t>
      </w:r>
      <w:r w:rsidR="007D6536" w:rsidRPr="00DD4289">
        <w:rPr>
          <w:rFonts w:ascii="Times New Roman" w:eastAsia="MS Gothic" w:hAnsi="Times New Roman" w:cs="Times New Roman"/>
          <w:bCs/>
          <w:sz w:val="28"/>
          <w:szCs w:val="28"/>
          <w:lang w:val="vi-VN"/>
        </w:rPr>
        <w:t>ỳ</w:t>
      </w:r>
      <w:r w:rsidR="007D6536" w:rsidRPr="00DD4289">
        <w:rPr>
          <w:rFonts w:ascii="Times New Roman" w:hAnsi="Times New Roman" w:cs="Times New Roman"/>
          <w:bCs/>
          <w:sz w:val="28"/>
          <w:szCs w:val="28"/>
          <w:lang w:val="vi-VN"/>
        </w:rPr>
        <w:t xml:space="preserve"> Bộ Ngoại giao Trung Quốc, </w:t>
      </w:r>
      <w:r w:rsidR="0004324C" w:rsidRPr="00566B21">
        <w:rPr>
          <w:rFonts w:ascii="Times New Roman" w:hAnsi="Times New Roman" w:cs="Times New Roman"/>
          <w:bCs/>
          <w:sz w:val="28"/>
          <w:szCs w:val="28"/>
          <w:lang w:val="vi-VN"/>
        </w:rPr>
        <w:t xml:space="preserve">người </w:t>
      </w:r>
      <w:r w:rsidR="007D6536" w:rsidRPr="00DD4289">
        <w:rPr>
          <w:rFonts w:ascii="Times New Roman" w:hAnsi="Times New Roman" w:cs="Times New Roman"/>
          <w:bCs/>
          <w:sz w:val="28"/>
          <w:szCs w:val="28"/>
          <w:lang w:val="vi-VN"/>
        </w:rPr>
        <w:t>phát ngôn Bộ ngoại giao Trung Quốc Mao Ninh cho biết lập trường của Trung Quốc về thuế quan rất rõ ràng: không có người thắng cuộc trong cuộc chiến thuế quan. Trung Quốc sẽ kiên quyết bảo vệ các quyền và lợi ích hợp pháp củ</w:t>
      </w:r>
      <w:r w:rsidR="00710856" w:rsidRPr="00DD4289">
        <w:rPr>
          <w:rFonts w:ascii="Times New Roman" w:hAnsi="Times New Roman" w:cs="Times New Roman"/>
          <w:bCs/>
          <w:sz w:val="28"/>
          <w:szCs w:val="28"/>
          <w:lang w:val="vi-VN"/>
        </w:rPr>
        <w:t>a mình</w:t>
      </w:r>
      <w:r w:rsidR="004522B0" w:rsidRPr="00DD4289">
        <w:rPr>
          <w:rFonts w:ascii="Times New Roman" w:hAnsi="Times New Roman" w:cs="Times New Roman"/>
          <w:bCs/>
          <w:sz w:val="28"/>
          <w:szCs w:val="28"/>
          <w:lang w:val="vi-VN"/>
        </w:rPr>
        <w:t xml:space="preserve">. </w:t>
      </w:r>
    </w:p>
    <w:p w14:paraId="59471321" w14:textId="10F7457C" w:rsidR="00DE68EC" w:rsidRPr="00DD4289" w:rsidRDefault="00410F52" w:rsidP="00DD4289">
      <w:pPr>
        <w:adjustRightInd w:val="0"/>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 </w:t>
      </w:r>
      <w:r w:rsidR="00DE68EC" w:rsidRPr="00DD4289">
        <w:rPr>
          <w:rFonts w:ascii="Times New Roman" w:hAnsi="Times New Roman" w:cs="Times New Roman"/>
          <w:bCs/>
          <w:sz w:val="28"/>
          <w:szCs w:val="28"/>
          <w:lang w:val="vi-VN"/>
        </w:rPr>
        <w:t>Mỹ đã chính thức bật đèn xanh cho việc xuất khẩu chip H200 của Nvidia sang Trung Quố</w:t>
      </w:r>
      <w:r w:rsidRPr="00DD4289">
        <w:rPr>
          <w:rFonts w:ascii="Times New Roman" w:hAnsi="Times New Roman" w:cs="Times New Roman"/>
          <w:bCs/>
          <w:sz w:val="28"/>
          <w:szCs w:val="28"/>
          <w:lang w:val="vi-VN"/>
        </w:rPr>
        <w:t xml:space="preserve">c. </w:t>
      </w:r>
      <w:r w:rsidR="00DE68EC" w:rsidRPr="00DD4289">
        <w:rPr>
          <w:rFonts w:ascii="Times New Roman" w:hAnsi="Times New Roman" w:cs="Times New Roman"/>
          <w:bCs/>
          <w:sz w:val="28"/>
          <w:szCs w:val="28"/>
          <w:lang w:val="vi-VN"/>
        </w:rPr>
        <w:t xml:space="preserve">Theo đó Cục Công nghiệp và An ninh (BIS) thuộc Bộ Thương mại Mỹ, mỗi lô hàng chip H200 trước khi xuất khẩu đi phải được thẩm định nghiêm ngặt tại phòng thí nghiệm của bên thứ ba. </w:t>
      </w:r>
      <w:r w:rsidR="00DE68EC" w:rsidRPr="00566B21">
        <w:rPr>
          <w:rFonts w:ascii="Times New Roman" w:hAnsi="Times New Roman" w:cs="Times New Roman"/>
          <w:bCs/>
          <w:sz w:val="28"/>
          <w:szCs w:val="28"/>
          <w:lang w:val="vi-VN"/>
        </w:rPr>
        <w:t>Nhiệm vụ của các phòng thí nghiệm độc lập này là xác nhận năng lực của chip, đảm bảo chúng nằm trong giới hạn cho phép và không bị can thiệp để mở khóa các tính năng cao cấp hơn vốn bị cấm.</w:t>
      </w:r>
    </w:p>
    <w:p w14:paraId="16B5C94F" w14:textId="18D435A8" w:rsidR="00DE68EC" w:rsidRPr="00566B21" w:rsidRDefault="00DE68EC" w:rsidP="00DD4289">
      <w:pPr>
        <w:adjustRightInd w:val="0"/>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Bên cạnh kiểm duyệt kỹ thuật, Nvidia không được xuất khẩu trên 50% tổng số lượng chip mà tập đoàn này bán cho các khách hàng tại Mỹ. </w:t>
      </w:r>
      <w:r w:rsidRPr="00566B21">
        <w:rPr>
          <w:rFonts w:ascii="Times New Roman" w:hAnsi="Times New Roman" w:cs="Times New Roman"/>
          <w:bCs/>
          <w:sz w:val="28"/>
          <w:szCs w:val="28"/>
          <w:lang w:val="vi-VN"/>
        </w:rPr>
        <w:t>Nvidia sẽ phải chịu trách nhiệm chứng nhận rằng nguồn cung H200 tại thị trường nội địa Mỹ là đủ đáp ứng nhu cầu trước khi xuất khẩu. Điều này nhằm đảm bảo rằng các công ty công nghệ Mỹ như Microsoft, Google hay Meta luôn được ưu tiên tiếp cận nguồn chip để duy trì vị thế dẫn đầu trong cuộc đua AI toàn cầu, tránh tình trạng khan hiếm trong nước do xuất khẩu quá mức.</w:t>
      </w:r>
    </w:p>
    <w:p w14:paraId="466378EE" w14:textId="77777777" w:rsidR="00343989" w:rsidRPr="00FC563B" w:rsidRDefault="00DE68EC" w:rsidP="00343989">
      <w:pPr>
        <w:adjustRightInd w:val="0"/>
        <w:snapToGrid w:val="0"/>
        <w:spacing w:before="60" w:after="60" w:line="360" w:lineRule="exact"/>
        <w:ind w:firstLine="720"/>
        <w:jc w:val="both"/>
        <w:rPr>
          <w:rFonts w:ascii="Times New Roman" w:hAnsi="Times New Roman" w:cs="Times New Roman"/>
          <w:bCs/>
          <w:sz w:val="28"/>
          <w:szCs w:val="28"/>
          <w:lang w:val="vi-VN"/>
        </w:rPr>
      </w:pPr>
      <w:r w:rsidRPr="00566B21">
        <w:rPr>
          <w:rFonts w:ascii="Times New Roman" w:hAnsi="Times New Roman" w:cs="Times New Roman"/>
          <w:bCs/>
          <w:sz w:val="28"/>
          <w:szCs w:val="28"/>
          <w:lang w:val="vi-VN"/>
        </w:rPr>
        <w:t>Về phía người mua, các khách hàng Trung Quốc buộc phải chứng minh được rằng mình đang sở hữu các quy trình bảo mật đầy đủ để ngăn chặn việc rò rỉ công nghệ và quan trọng nhất là cam kết không sử dụng các con chip này cho mục đích quân sự.</w:t>
      </w:r>
    </w:p>
    <w:p w14:paraId="0927056E" w14:textId="36BD1785" w:rsidR="00343989" w:rsidRPr="00343989" w:rsidRDefault="00410F52" w:rsidP="00343989">
      <w:pPr>
        <w:adjustRightInd w:val="0"/>
        <w:snapToGrid w:val="0"/>
        <w:spacing w:before="60" w:after="60" w:line="360" w:lineRule="exact"/>
        <w:ind w:firstLine="720"/>
        <w:jc w:val="both"/>
        <w:rPr>
          <w:rFonts w:ascii="Times New Roman" w:hAnsi="Times New Roman" w:cs="Times New Roman"/>
          <w:bCs/>
          <w:sz w:val="28"/>
          <w:szCs w:val="28"/>
          <w:lang w:val="vi-VN"/>
        </w:rPr>
      </w:pPr>
      <w:r w:rsidRPr="00566B21">
        <w:rPr>
          <w:rFonts w:ascii="Times New Roman" w:hAnsi="Times New Roman" w:cs="Times New Roman"/>
          <w:bCs/>
          <w:sz w:val="28"/>
          <w:szCs w:val="28"/>
          <w:lang w:val="vi-VN"/>
        </w:rPr>
        <w:t xml:space="preserve">- </w:t>
      </w:r>
      <w:r w:rsidR="00343989" w:rsidRPr="00343989">
        <w:rPr>
          <w:rFonts w:ascii="Times New Roman" w:hAnsi="Times New Roman" w:cs="Times New Roman"/>
          <w:sz w:val="28"/>
          <w:szCs w:val="28"/>
          <w:lang w:val="vi-VN"/>
        </w:rPr>
        <w:t>Trung Quốc đã bắt đầu phê duyệt việc mua chip trí tuệ nhân tạo (AI) H200 của Nvidia, cho phép một số khách hàng Trung Quốc củ</w:t>
      </w:r>
      <w:r w:rsidR="00343989">
        <w:rPr>
          <w:rFonts w:ascii="Times New Roman" w:hAnsi="Times New Roman" w:cs="Times New Roman"/>
          <w:sz w:val="28"/>
          <w:szCs w:val="28"/>
          <w:lang w:val="vi-VN"/>
        </w:rPr>
        <w:t>a Nvidia mua hàng.</w:t>
      </w:r>
      <w:r w:rsidR="00343989" w:rsidRPr="00FC563B">
        <w:rPr>
          <w:rFonts w:ascii="Times New Roman" w:hAnsi="Times New Roman" w:cs="Times New Roman"/>
          <w:sz w:val="28"/>
          <w:szCs w:val="28"/>
          <w:lang w:val="vi-VN"/>
        </w:rPr>
        <w:t xml:space="preserve"> </w:t>
      </w:r>
      <w:r w:rsidR="00343989" w:rsidRPr="00343989">
        <w:rPr>
          <w:rFonts w:ascii="Times New Roman" w:hAnsi="Times New Roman" w:cs="Times New Roman"/>
          <w:sz w:val="28"/>
          <w:szCs w:val="28"/>
          <w:lang w:val="vi-VN"/>
        </w:rPr>
        <w:t>Đây là sự thay đổi đáng kể trong lập trường của Trung Quốc khi tìm cách cân bằng giữa nhu cầu cấp thiết về phần cứng AI và nỗ lực thúc đẩy phát triển công nghệ trong nước. </w:t>
      </w:r>
    </w:p>
    <w:p w14:paraId="2934B338" w14:textId="0E54A747" w:rsidR="009C3F57" w:rsidRPr="00343989" w:rsidRDefault="00343989" w:rsidP="00343989">
      <w:pPr>
        <w:spacing w:before="120" w:after="120" w:line="360" w:lineRule="exact"/>
        <w:ind w:firstLine="720"/>
        <w:jc w:val="both"/>
        <w:rPr>
          <w:rFonts w:ascii="Times New Roman" w:hAnsi="Times New Roman" w:cs="Times New Roman"/>
          <w:sz w:val="28"/>
          <w:szCs w:val="28"/>
          <w:lang w:val="vi-VN"/>
        </w:rPr>
      </w:pPr>
      <w:r w:rsidRPr="00343989">
        <w:rPr>
          <w:rFonts w:ascii="Times New Roman" w:hAnsi="Times New Roman" w:cs="Times New Roman"/>
          <w:sz w:val="28"/>
          <w:szCs w:val="28"/>
          <w:lang w:val="vi-VN"/>
        </w:rPr>
        <w:t xml:space="preserve">Lô hàng đầu tiên được phê duyệt bao gồm vài trăm nghìn chip H200, trị giá khoảng 10 tỷ USD và được phân bổ cho các công ty công nghệ lớn gồm Alibaba và ByteDance. </w:t>
      </w:r>
    </w:p>
    <w:p w14:paraId="3184F620" w14:textId="77777777" w:rsidR="009E3762" w:rsidRPr="00DD4289" w:rsidRDefault="00121012" w:rsidP="00DD4289">
      <w:pPr>
        <w:adjustRightInd w:val="0"/>
        <w:snapToGrid w:val="0"/>
        <w:spacing w:before="60" w:after="60" w:line="360" w:lineRule="exact"/>
        <w:ind w:firstLine="720"/>
        <w:jc w:val="both"/>
        <w:rPr>
          <w:rFonts w:ascii="Times New Roman" w:eastAsia="DengXian Light" w:hAnsi="Times New Roman" w:cs="Times New Roman"/>
          <w:b/>
          <w:color w:val="0D0D0D"/>
          <w:kern w:val="2"/>
          <w:sz w:val="28"/>
          <w:szCs w:val="28"/>
          <w:lang w:val="vi-VN"/>
        </w:rPr>
      </w:pPr>
      <w:r w:rsidRPr="00DD4289">
        <w:rPr>
          <w:rFonts w:ascii="Times New Roman" w:eastAsia="DengXian Light" w:hAnsi="Times New Roman" w:cs="Times New Roman"/>
          <w:b/>
          <w:color w:val="0D0D0D"/>
          <w:kern w:val="2"/>
          <w:sz w:val="28"/>
          <w:szCs w:val="28"/>
          <w:lang w:val="vi-VN"/>
        </w:rPr>
        <w:t>2. Với EU</w:t>
      </w:r>
    </w:p>
    <w:p w14:paraId="1B827085" w14:textId="44052637" w:rsidR="009E3762" w:rsidRPr="00DD4289" w:rsidRDefault="009E3762" w:rsidP="00DD4289">
      <w:pPr>
        <w:adjustRightInd w:val="0"/>
        <w:snapToGrid w:val="0"/>
        <w:spacing w:before="60" w:after="60" w:line="360" w:lineRule="exact"/>
        <w:ind w:firstLine="720"/>
        <w:jc w:val="both"/>
        <w:rPr>
          <w:rFonts w:ascii="Times New Roman" w:eastAsia="DengXian Light" w:hAnsi="Times New Roman" w:cs="Times New Roman"/>
          <w:b/>
          <w:color w:val="0D0D0D"/>
          <w:kern w:val="2"/>
          <w:sz w:val="28"/>
          <w:szCs w:val="28"/>
          <w:lang w:val="vi-VN"/>
        </w:rPr>
      </w:pPr>
      <w:r w:rsidRPr="00DD4289">
        <w:rPr>
          <w:rFonts w:ascii="Times New Roman" w:eastAsia="DengXian Light" w:hAnsi="Times New Roman" w:cs="Times New Roman"/>
          <w:b/>
          <w:color w:val="0D0D0D"/>
          <w:kern w:val="2"/>
          <w:sz w:val="28"/>
          <w:szCs w:val="28"/>
          <w:lang w:val="vi-VN"/>
        </w:rPr>
        <w:t xml:space="preserve">- </w:t>
      </w:r>
      <w:r w:rsidRPr="00DD4289">
        <w:rPr>
          <w:rFonts w:ascii="Times New Roman" w:eastAsia="DengXian Light" w:hAnsi="Times New Roman" w:cs="Times New Roman"/>
          <w:color w:val="0D0D0D"/>
          <w:kern w:val="2"/>
          <w:sz w:val="28"/>
          <w:szCs w:val="28"/>
          <w:lang w:val="vi-VN"/>
        </w:rPr>
        <w:t>Ngày 12/01/2026,</w:t>
      </w:r>
      <w:r w:rsidRPr="00DD4289">
        <w:rPr>
          <w:rFonts w:ascii="Times New Roman" w:eastAsia="DengXian Light" w:hAnsi="Times New Roman" w:cs="Times New Roman"/>
          <w:b/>
          <w:color w:val="0D0D0D"/>
          <w:kern w:val="2"/>
          <w:sz w:val="28"/>
          <w:szCs w:val="28"/>
          <w:lang w:val="vi-VN"/>
        </w:rPr>
        <w:t xml:space="preserve"> </w:t>
      </w:r>
      <w:r w:rsidRPr="00DD4289">
        <w:rPr>
          <w:rFonts w:ascii="Times New Roman" w:eastAsia="Times New Roman" w:hAnsi="Times New Roman" w:cs="Times New Roman"/>
          <w:sz w:val="28"/>
          <w:szCs w:val="28"/>
          <w:lang w:val="vi-VN" w:eastAsia="zh-CN"/>
        </w:rPr>
        <w:t>Trung Quốc và Liên minh châu Âu (EU) thông báo đã đạt được thỏa thuận về các bước đi nhằm giải quyết tranh chấp thương mại kéo dài liên quan đến việc nhập khẩu xe điện (EV) sản xuất tại Trung Quốc vào thị trường chung châu Âu.</w:t>
      </w:r>
    </w:p>
    <w:p w14:paraId="76234F3E" w14:textId="77777777" w:rsidR="009E3762" w:rsidRPr="00DD4289" w:rsidRDefault="009E3762"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DD4289">
        <w:rPr>
          <w:rFonts w:ascii="Times New Roman" w:eastAsia="Times New Roman" w:hAnsi="Times New Roman" w:cs="Times New Roman"/>
          <w:sz w:val="28"/>
          <w:szCs w:val="28"/>
          <w:lang w:val="vi-VN" w:eastAsia="zh-CN"/>
        </w:rPr>
        <w:t xml:space="preserve">Theo tuyên bố từ Bộ Thương mại Trung Quốc, EU sẽ ban hành các hướng dẫn về mức giá tối thiểu đối với các nhà xuất khẩu ôtô Trung Quốc. Trung Quốc nhận định động thái này không chỉ có lợi cho sự phát triển lành mạnh của quan </w:t>
      </w:r>
      <w:r w:rsidRPr="00DD4289">
        <w:rPr>
          <w:rFonts w:ascii="Times New Roman" w:eastAsia="Times New Roman" w:hAnsi="Times New Roman" w:cs="Times New Roman"/>
          <w:sz w:val="28"/>
          <w:szCs w:val="28"/>
          <w:lang w:val="vi-VN" w:eastAsia="zh-CN"/>
        </w:rPr>
        <w:lastRenderedPageBreak/>
        <w:t>hệ kinh tế-thương mại song phương, mà còn góp phần bảo vệ trật tự thương mại quốc tế dựa trên luật lệ.</w:t>
      </w:r>
    </w:p>
    <w:p w14:paraId="43A3EED1" w14:textId="77777777" w:rsidR="009E3762" w:rsidRPr="00DD4289" w:rsidRDefault="009E3762"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DD4289">
        <w:rPr>
          <w:rFonts w:ascii="Times New Roman" w:eastAsia="Times New Roman" w:hAnsi="Times New Roman" w:cs="Times New Roman"/>
          <w:sz w:val="28"/>
          <w:szCs w:val="28"/>
          <w:lang w:val="vi-VN" w:eastAsia="zh-CN"/>
        </w:rPr>
        <w:t>Về phía châu Âu, khối này đã công bố tài liệu hướng dẫn cho các nhà sản xuất EV về việc đưa ra đề nghị giá, bao gồm giá nhập khẩu tối thiểu cũng các chi tiết khác. EU tuyên bố Ủy ban châu Âu (EC) sẽ đánh giá từng đề nghị một cách khách quan và công bằng, tuân theo nguyên tắc không phân biệt đối xử và phù hợp với các quy tắc của Tổ chức Thương mại Thế giới (WTO).</w:t>
      </w:r>
    </w:p>
    <w:p w14:paraId="2D9A50FA" w14:textId="0E424365" w:rsidR="00121012" w:rsidRPr="00DD4289" w:rsidRDefault="00121012" w:rsidP="00DD4289">
      <w:pPr>
        <w:adjustRightInd w:val="0"/>
        <w:snapToGrid w:val="0"/>
        <w:spacing w:before="60" w:after="60" w:line="360" w:lineRule="exact"/>
        <w:ind w:firstLine="720"/>
        <w:jc w:val="both"/>
        <w:rPr>
          <w:rFonts w:ascii="Times New Roman" w:eastAsia="DengXian Light" w:hAnsi="Times New Roman" w:cs="Times New Roman"/>
          <w:b/>
          <w:color w:val="0D0D0D"/>
          <w:kern w:val="2"/>
          <w:sz w:val="28"/>
          <w:szCs w:val="28"/>
          <w:lang w:val="vi-VN"/>
        </w:rPr>
      </w:pPr>
      <w:r w:rsidRPr="00DD4289">
        <w:rPr>
          <w:rFonts w:ascii="Times New Roman" w:eastAsia="DengXian Light" w:hAnsi="Times New Roman" w:cs="Times New Roman"/>
          <w:b/>
          <w:color w:val="0D0D0D"/>
          <w:kern w:val="2"/>
          <w:sz w:val="28"/>
          <w:szCs w:val="28"/>
          <w:lang w:val="vi-VN"/>
        </w:rPr>
        <w:t xml:space="preserve">3. Với Canada </w:t>
      </w:r>
    </w:p>
    <w:p w14:paraId="69B1D56D" w14:textId="0935DC5F" w:rsidR="00627E56" w:rsidRPr="00DD4289" w:rsidRDefault="00627E56"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DD4289">
        <w:rPr>
          <w:rFonts w:ascii="Times New Roman" w:eastAsia="Times New Roman" w:hAnsi="Times New Roman" w:cs="Times New Roman"/>
          <w:sz w:val="28"/>
          <w:szCs w:val="28"/>
          <w:lang w:val="vi-VN" w:eastAsia="zh-CN"/>
        </w:rPr>
        <w:t xml:space="preserve">Trong chuyến thăm Trung Quốc mới đây, Thủ tướng Canada Mark Carney đã đạt được thỏa thuận với Chủ tịch Tập Cận Bình về việc giảm thuế nhập khẩu xe điện Trung Quốc xuống còn 6,1% với hạn ngạch ban đầu sẽ là 49.000 xe mỗi năm, dự kiến tăng lên 70.000 xe trong vòng năm năm tới.  Hiện hạn ngạch xe điện Trung Quốc chỉ chiếm khoảng 3% trong tổng số 1,8 triệu xe được bán ra mỗi năm tại Canada. </w:t>
      </w:r>
    </w:p>
    <w:p w14:paraId="294A8D09" w14:textId="77777777" w:rsidR="00627E56" w:rsidRPr="00DD4289" w:rsidRDefault="00627E56"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DD4289">
        <w:rPr>
          <w:rFonts w:ascii="Times New Roman" w:eastAsia="Times New Roman" w:hAnsi="Times New Roman" w:cs="Times New Roman"/>
          <w:sz w:val="28"/>
          <w:szCs w:val="28"/>
          <w:lang w:val="vi-VN" w:eastAsia="zh-CN"/>
        </w:rPr>
        <w:t>Đổi lại, Trung Quốc dự kiến đầu tư vào ngành công nghiệp ô tô Canada trong 3 năm tới. Đồng thời, Trung Quốc cam kết giảm thuế đối với xuất khẩu hạt cải (cải dầu) của Canada từ mức rất cao (~84–85%) xuống còn khoảng 15%, cùng với việc bỏ thuế cho các mặt hàng như hạt cải ngựa, tôm hùm, cua và đậu. Điều này có ý nghĩa lớn đối với ngành nông nghiệp Canada, vốn bị thiệt hại nặng từ các biện pháp trả đũa trước đây của Trung Quốc khi Ottawa áp thuế lên nhiều mặt hàng xuất khẩu.</w:t>
      </w:r>
    </w:p>
    <w:p w14:paraId="1ED28733" w14:textId="77777777" w:rsidR="00627E56" w:rsidRPr="00DD4289" w:rsidRDefault="00627E56"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DD4289">
        <w:rPr>
          <w:rFonts w:ascii="Times New Roman" w:eastAsia="Times New Roman" w:hAnsi="Times New Roman" w:cs="Times New Roman"/>
          <w:sz w:val="28"/>
          <w:szCs w:val="28"/>
          <w:lang w:val="vi-VN" w:eastAsia="zh-CN"/>
        </w:rPr>
        <w:t>Đ</w:t>
      </w:r>
      <w:r w:rsidRPr="00DD4289">
        <w:rPr>
          <w:rFonts w:ascii="Times New Roman" w:hAnsi="Times New Roman" w:cs="Times New Roman"/>
          <w:sz w:val="28"/>
          <w:szCs w:val="28"/>
          <w:lang w:val="vi-VN"/>
        </w:rPr>
        <w:t>ộng thái trên đánh dấu một bước chuyển đáng kể trong chính sách của Canada đối với Trung Quốc, được định hình từ những bất định kéo dài trong quan hệ với Mỹ.</w:t>
      </w:r>
    </w:p>
    <w:p w14:paraId="265C0163" w14:textId="0D997D75" w:rsidR="00EE1663" w:rsidRPr="00DD4289" w:rsidRDefault="00121012"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566B21">
        <w:rPr>
          <w:rFonts w:ascii="Times New Roman" w:eastAsia="DengXian Light" w:hAnsi="Times New Roman" w:cs="Times New Roman"/>
          <w:b/>
          <w:color w:val="0D0D0D"/>
          <w:kern w:val="2"/>
          <w:sz w:val="28"/>
          <w:szCs w:val="28"/>
          <w:lang w:val="vi-VN"/>
        </w:rPr>
        <w:t xml:space="preserve">4. Với Nhật Bản </w:t>
      </w:r>
    </w:p>
    <w:p w14:paraId="3887254D" w14:textId="77777777" w:rsidR="002956C6" w:rsidRPr="00DD4289" w:rsidRDefault="00EE1663" w:rsidP="00DD4289">
      <w:pPr>
        <w:adjustRightInd w:val="0"/>
        <w:snapToGrid w:val="0"/>
        <w:spacing w:before="60" w:after="60" w:line="360" w:lineRule="exact"/>
        <w:ind w:firstLine="720"/>
        <w:jc w:val="both"/>
        <w:rPr>
          <w:rFonts w:ascii="Times New Roman" w:eastAsia="DengXian Light" w:hAnsi="Times New Roman" w:cs="Times New Roman"/>
          <w:b/>
          <w:color w:val="0D0D0D"/>
          <w:kern w:val="2"/>
          <w:sz w:val="28"/>
          <w:szCs w:val="28"/>
          <w:lang w:val="vi-VN"/>
        </w:rPr>
      </w:pPr>
      <w:r w:rsidRPr="00566B21">
        <w:rPr>
          <w:rFonts w:ascii="Times New Roman" w:eastAsia="DengXian Light" w:hAnsi="Times New Roman" w:cs="Times New Roman"/>
          <w:b/>
          <w:color w:val="0D0D0D"/>
          <w:kern w:val="2"/>
          <w:sz w:val="28"/>
          <w:szCs w:val="28"/>
          <w:lang w:val="vi-VN"/>
        </w:rPr>
        <w:t xml:space="preserve">- </w:t>
      </w:r>
      <w:r w:rsidR="006B6A28" w:rsidRPr="00DD4289">
        <w:rPr>
          <w:rFonts w:ascii="Times New Roman" w:hAnsi="Times New Roman" w:cs="Times New Roman"/>
          <w:bCs/>
          <w:sz w:val="28"/>
          <w:szCs w:val="28"/>
          <w:lang w:val="vi-VN"/>
        </w:rPr>
        <w:t xml:space="preserve">Ngày </w:t>
      </w:r>
      <w:r w:rsidRPr="00566B21">
        <w:rPr>
          <w:rFonts w:ascii="Times New Roman" w:hAnsi="Times New Roman" w:cs="Times New Roman"/>
          <w:bCs/>
          <w:sz w:val="28"/>
          <w:szCs w:val="28"/>
          <w:lang w:val="vi-VN"/>
        </w:rPr>
        <w:t>0</w:t>
      </w:r>
      <w:r w:rsidR="006B6A28" w:rsidRPr="00DD4289">
        <w:rPr>
          <w:rFonts w:ascii="Times New Roman" w:hAnsi="Times New Roman" w:cs="Times New Roman"/>
          <w:bCs/>
          <w:sz w:val="28"/>
          <w:szCs w:val="28"/>
          <w:lang w:val="vi-VN"/>
        </w:rPr>
        <w:t>6/</w:t>
      </w:r>
      <w:r w:rsidRPr="00566B21">
        <w:rPr>
          <w:rFonts w:ascii="Times New Roman" w:hAnsi="Times New Roman" w:cs="Times New Roman"/>
          <w:bCs/>
          <w:sz w:val="28"/>
          <w:szCs w:val="28"/>
          <w:lang w:val="vi-VN"/>
        </w:rPr>
        <w:t>0</w:t>
      </w:r>
      <w:r w:rsidR="006B6A28" w:rsidRPr="00DD4289">
        <w:rPr>
          <w:rFonts w:ascii="Times New Roman" w:hAnsi="Times New Roman" w:cs="Times New Roman"/>
          <w:bCs/>
          <w:sz w:val="28"/>
          <w:szCs w:val="28"/>
          <w:lang w:val="vi-VN"/>
        </w:rPr>
        <w:t>1/2026, Bộ Thương mại Trung Quốc đã công bố tăng cường kiểm soát xuất khẩu hàng hóa lưỡng dụng sang Nhật Bản. Người phát ngôn Bộ Thương mại Trung Quốc cho biết, gần đây, các nhà lãnh đạo Nhật Bản đã công khai đưa ra những phát ngôn sai lầm về Đài Loan, ám chỉ khả năng can thiệp quân sự vào eo biển Đài Loan, can thiệp trắng trợn vào công việc nội bộ của Trung Quốc, vi phạm nghiêm trọng nguyên tắc một Trung Quốc, bản chất cũng như tác động của vấn đề này là vô cùng tồi tệ.</w:t>
      </w:r>
    </w:p>
    <w:p w14:paraId="4FFDA159" w14:textId="1E1B64FC" w:rsidR="00BE5D0F" w:rsidRPr="00566B21" w:rsidRDefault="006B6A28" w:rsidP="00DD4289">
      <w:pPr>
        <w:adjustRightInd w:val="0"/>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Để bảo vệ an ninh và lợi ích quốc gia, đồng thời thực hiện các nghĩa vụ quốc tế như không phổ biến vũ khí hạt nhân, theo các điều khoản liên quan của Luật Kiểm soát Xuất khẩu và Quy định về Kiểm soát Xuất khẩu Hàng hóa Lưỡng dụng của </w:t>
      </w:r>
      <w:r w:rsidR="009B22D0" w:rsidRPr="009B22D0">
        <w:rPr>
          <w:rFonts w:ascii="Times New Roman" w:hAnsi="Times New Roman" w:cs="Times New Roman"/>
          <w:bCs/>
          <w:sz w:val="28"/>
          <w:szCs w:val="28"/>
          <w:lang w:val="vi-VN"/>
        </w:rPr>
        <w:t xml:space="preserve">nước </w:t>
      </w:r>
      <w:r w:rsidRPr="00DD4289">
        <w:rPr>
          <w:rFonts w:ascii="Times New Roman" w:hAnsi="Times New Roman" w:cs="Times New Roman"/>
          <w:bCs/>
          <w:sz w:val="28"/>
          <w:szCs w:val="28"/>
          <w:lang w:val="vi-VN"/>
        </w:rPr>
        <w:t xml:space="preserve">Cộng hòa Nhân dân Trung Hoa, Trung Quốc đã quyết định cấm xuất khẩu tất cả các mặt hàng lưỡng dụng cho người dùng quân sự Nhật Bản, cho mục đích quân sự và cho bất kỳ mục đích sử dụng cuối cùng nào khác góp phần tăng cường sức mạnh quân sự của Nhật Bản. Bất kỳ tổ chức hoặc </w:t>
      </w:r>
      <w:r w:rsidRPr="00DD4289">
        <w:rPr>
          <w:rFonts w:ascii="Times New Roman" w:hAnsi="Times New Roman" w:cs="Times New Roman"/>
          <w:bCs/>
          <w:sz w:val="28"/>
          <w:szCs w:val="28"/>
          <w:lang w:val="vi-VN"/>
        </w:rPr>
        <w:lastRenderedPageBreak/>
        <w:t xml:space="preserve">cá nhân nào từ bất kỳ quốc gia hoặc khu vực nào vi phạm các quy định nêu trên bằng cách chuyển giao hoặc cung cấp các mặt hàng lưỡng dụng có nguồn gốc từ </w:t>
      </w:r>
      <w:r w:rsidR="009B22D0" w:rsidRPr="00EE5C93">
        <w:rPr>
          <w:rFonts w:ascii="Times New Roman" w:hAnsi="Times New Roman" w:cs="Times New Roman"/>
          <w:bCs/>
          <w:sz w:val="28"/>
          <w:szCs w:val="28"/>
          <w:lang w:val="vi-VN"/>
        </w:rPr>
        <w:t xml:space="preserve">Trung Quốc </w:t>
      </w:r>
      <w:r w:rsidRPr="00DD4289">
        <w:rPr>
          <w:rFonts w:ascii="Times New Roman" w:hAnsi="Times New Roman" w:cs="Times New Roman"/>
          <w:bCs/>
          <w:sz w:val="28"/>
          <w:szCs w:val="28"/>
          <w:lang w:val="vi-VN"/>
        </w:rPr>
        <w:t>cho các tổ chức hoặc cá nhân của Nhật Bản sẽ phải chịu trách nhiệm pháp lý.</w:t>
      </w:r>
      <w:r w:rsidR="002956C6" w:rsidRPr="00DD4289">
        <w:rPr>
          <w:rFonts w:ascii="Times New Roman" w:hAnsi="Times New Roman" w:cs="Times New Roman"/>
          <w:bCs/>
          <w:sz w:val="28"/>
          <w:szCs w:val="28"/>
          <w:lang w:val="vi-VN"/>
        </w:rPr>
        <w:t xml:space="preserve"> </w:t>
      </w:r>
    </w:p>
    <w:p w14:paraId="723FB050" w14:textId="77777777" w:rsidR="00A6660E" w:rsidRPr="00F2450C" w:rsidRDefault="00627E56" w:rsidP="00A6660E">
      <w:pPr>
        <w:adjustRightInd w:val="0"/>
        <w:snapToGrid w:val="0"/>
        <w:spacing w:before="60" w:after="60" w:line="360" w:lineRule="exact"/>
        <w:ind w:firstLine="720"/>
        <w:jc w:val="both"/>
        <w:rPr>
          <w:rFonts w:ascii="Times New Roman" w:hAnsi="Times New Roman" w:cs="Times New Roman"/>
          <w:b/>
          <w:bCs/>
          <w:sz w:val="28"/>
          <w:szCs w:val="28"/>
          <w:lang w:val="vi-VN"/>
        </w:rPr>
      </w:pPr>
      <w:r w:rsidRPr="00566B21">
        <w:rPr>
          <w:rFonts w:ascii="Times New Roman" w:hAnsi="Times New Roman" w:cs="Times New Roman"/>
          <w:b/>
          <w:bCs/>
          <w:sz w:val="28"/>
          <w:szCs w:val="28"/>
          <w:lang w:val="vi-VN"/>
        </w:rPr>
        <w:t xml:space="preserve">5. Với Trung Á </w:t>
      </w:r>
    </w:p>
    <w:p w14:paraId="0D06867F" w14:textId="105BD3DE" w:rsidR="00627E56" w:rsidRPr="00A6660E" w:rsidRDefault="00760AFB" w:rsidP="00A6660E">
      <w:pPr>
        <w:adjustRightInd w:val="0"/>
        <w:snapToGrid w:val="0"/>
        <w:spacing w:before="60" w:after="60" w:line="360" w:lineRule="exact"/>
        <w:ind w:firstLine="720"/>
        <w:jc w:val="both"/>
        <w:rPr>
          <w:rFonts w:ascii="Times New Roman" w:hAnsi="Times New Roman" w:cs="Times New Roman"/>
          <w:b/>
          <w:bCs/>
          <w:sz w:val="28"/>
          <w:szCs w:val="28"/>
          <w:lang w:val="vi-VN"/>
        </w:rPr>
      </w:pPr>
      <w:r w:rsidRPr="00566B21">
        <w:rPr>
          <w:rFonts w:ascii="Times New Roman" w:hAnsi="Times New Roman" w:cs="Times New Roman"/>
          <w:sz w:val="28"/>
          <w:szCs w:val="28"/>
          <w:lang w:val="vi-VN"/>
        </w:rPr>
        <w:t xml:space="preserve">Người phát ngôn </w:t>
      </w:r>
      <w:r w:rsidR="00EE5C93" w:rsidRPr="009F2D03">
        <w:rPr>
          <w:rFonts w:ascii="Times New Roman" w:hAnsi="Times New Roman" w:cs="Times New Roman"/>
          <w:sz w:val="28"/>
          <w:szCs w:val="28"/>
          <w:lang w:val="vi-VN"/>
        </w:rPr>
        <w:t xml:space="preserve">Bộ Ngoại giao Trung Quốc </w:t>
      </w:r>
      <w:r w:rsidRPr="00566B21">
        <w:rPr>
          <w:rFonts w:ascii="Times New Roman" w:hAnsi="Times New Roman" w:cs="Times New Roman"/>
          <w:sz w:val="28"/>
          <w:szCs w:val="28"/>
          <w:lang w:val="vi-VN"/>
        </w:rPr>
        <w:t xml:space="preserve">Quách Gia Côn cho biết, theo số liệu sơ bộ từ Tổng cục Hải quan Trung Quốc, kim ngạch thương mại giữa Trung Quốc và năm quốc gia Trung Á vượt mốc 100 tỷ USD vào năm 2025, lập kỷ lục mới trong lịch sử. </w:t>
      </w:r>
    </w:p>
    <w:p w14:paraId="7ABEB9F6" w14:textId="0BB8CBD5" w:rsidR="00CE4BC5" w:rsidRPr="00A6660E" w:rsidRDefault="00760AFB" w:rsidP="00A6660E">
      <w:pPr>
        <w:adjustRightInd w:val="0"/>
        <w:snapToGrid w:val="0"/>
        <w:spacing w:before="60" w:after="60" w:line="360" w:lineRule="exact"/>
        <w:ind w:firstLine="720"/>
        <w:jc w:val="both"/>
        <w:rPr>
          <w:rFonts w:ascii="Times New Roman" w:hAnsi="Times New Roman" w:cs="Times New Roman"/>
          <w:sz w:val="28"/>
          <w:szCs w:val="28"/>
          <w:lang w:val="vi-VN"/>
        </w:rPr>
      </w:pPr>
      <w:r w:rsidRPr="00566B21">
        <w:rPr>
          <w:rFonts w:ascii="Times New Roman" w:hAnsi="Times New Roman" w:cs="Times New Roman"/>
          <w:sz w:val="28"/>
          <w:szCs w:val="28"/>
          <w:lang w:val="vi-VN"/>
        </w:rPr>
        <w:t>Trong năm qua, quan hệ giữa Trung Quốc và các nước Trung Á đã phát triển nhanh chóng, cơ chế Trung Quốc - Trung Á ngày càng được hoàn thiện, hợp tác xây dựng Sáng kiến ​​Vành đai và Con đường ngày càng tiến bộ, giao lưu hữu nghị giữa người d</w:t>
      </w:r>
      <w:r w:rsidR="009F2D03">
        <w:rPr>
          <w:rFonts w:ascii="Times New Roman" w:hAnsi="Times New Roman" w:cs="Times New Roman"/>
          <w:sz w:val="28"/>
          <w:szCs w:val="28"/>
          <w:lang w:val="vi-VN"/>
        </w:rPr>
        <w:t>ân hai</w:t>
      </w:r>
      <w:r w:rsidR="009F2D03" w:rsidRPr="002D188B">
        <w:rPr>
          <w:rFonts w:ascii="Times New Roman" w:hAnsi="Times New Roman" w:cs="Times New Roman"/>
          <w:sz w:val="28"/>
          <w:szCs w:val="28"/>
          <w:lang w:val="vi-VN"/>
        </w:rPr>
        <w:t xml:space="preserve"> bên</w:t>
      </w:r>
      <w:r w:rsidRPr="00566B21">
        <w:rPr>
          <w:rFonts w:ascii="Times New Roman" w:hAnsi="Times New Roman" w:cs="Times New Roman"/>
          <w:sz w:val="28"/>
          <w:szCs w:val="28"/>
          <w:lang w:val="vi-VN"/>
        </w:rPr>
        <w:t xml:space="preserve"> ngày càng thân thiết. Đặc biệt, việc tổ chức thành công Hội nghị thượng đỉnh Trung Quốc - Trung Á lần thứ 2 đánh dấu một giai đoạn phát triển mới chất lượng cao trong hợp tác song phương. Đứng trước một khởi đầu lịch sử mới, Trung Quốc sẵn sàng hợp tác với các nước Trung Á để nắm bắt cơ hội, tiếp tục thúc đẩ</w:t>
      </w:r>
      <w:r w:rsidR="00A6660E">
        <w:rPr>
          <w:rFonts w:ascii="Times New Roman" w:hAnsi="Times New Roman" w:cs="Times New Roman"/>
          <w:sz w:val="28"/>
          <w:szCs w:val="28"/>
          <w:lang w:val="vi-VN"/>
        </w:rPr>
        <w:t xml:space="preserve">y </w:t>
      </w:r>
      <w:r w:rsidR="00A6660E" w:rsidRPr="00A6660E">
        <w:rPr>
          <w:rFonts w:ascii="Times New Roman" w:hAnsi="Times New Roman" w:cs="Times New Roman"/>
          <w:sz w:val="28"/>
          <w:szCs w:val="28"/>
          <w:lang w:val="vi-VN"/>
        </w:rPr>
        <w:t>“</w:t>
      </w:r>
      <w:r w:rsidRPr="00566B21">
        <w:rPr>
          <w:rFonts w:ascii="Times New Roman" w:hAnsi="Times New Roman" w:cs="Times New Roman"/>
          <w:sz w:val="28"/>
          <w:szCs w:val="28"/>
          <w:lang w:val="vi-VN"/>
        </w:rPr>
        <w:t>tinh thần Trung Quố</w:t>
      </w:r>
      <w:r w:rsidR="00A6660E">
        <w:rPr>
          <w:rFonts w:ascii="Times New Roman" w:hAnsi="Times New Roman" w:cs="Times New Roman"/>
          <w:sz w:val="28"/>
          <w:szCs w:val="28"/>
          <w:lang w:val="vi-VN"/>
        </w:rPr>
        <w:t>c - Trung Á</w:t>
      </w:r>
      <w:r w:rsidR="00A6660E" w:rsidRPr="00601100">
        <w:rPr>
          <w:rFonts w:ascii="Times New Roman" w:hAnsi="Times New Roman" w:cs="Times New Roman"/>
          <w:sz w:val="28"/>
          <w:szCs w:val="28"/>
          <w:lang w:val="vi-VN"/>
        </w:rPr>
        <w:t>”</w:t>
      </w:r>
      <w:r w:rsidRPr="00566B21">
        <w:rPr>
          <w:rFonts w:ascii="Times New Roman" w:hAnsi="Times New Roman" w:cs="Times New Roman"/>
          <w:sz w:val="28"/>
          <w:szCs w:val="28"/>
          <w:lang w:val="vi-VN"/>
        </w:rPr>
        <w:t>, tối ưu hóa và tăng cường cơ chế Trung Quốc - Trung Á, thúc đẩy hợp tác toàn diện không ngừng hướng tới những hướng đi mới, tốt hơn và thiết thực hơn, cùng nhau xây dựng cộng đồng chung vận mệnh Trung Quốc - Trung Á gắn kết hơn.</w:t>
      </w:r>
    </w:p>
    <w:p w14:paraId="0A1B31EC" w14:textId="53B3A17E" w:rsidR="00D96233" w:rsidRPr="00566B21" w:rsidRDefault="002D188B" w:rsidP="00DD4289">
      <w:pPr>
        <w:spacing w:before="60" w:after="60" w:line="360" w:lineRule="exact"/>
        <w:ind w:firstLine="720"/>
        <w:jc w:val="both"/>
        <w:rPr>
          <w:rFonts w:ascii="Times New Roman" w:hAnsi="Times New Roman" w:cs="Times New Roman"/>
          <w:sz w:val="28"/>
          <w:szCs w:val="28"/>
          <w:lang w:val="vi-VN"/>
        </w:rPr>
      </w:pPr>
      <w:r w:rsidRPr="00AB0AC8">
        <w:rPr>
          <w:rFonts w:ascii="Times New Roman" w:hAnsi="Times New Roman" w:cs="Times New Roman"/>
          <w:b/>
          <w:sz w:val="28"/>
          <w:szCs w:val="28"/>
          <w:lang w:val="vi-VN"/>
        </w:rPr>
        <w:t>6</w:t>
      </w:r>
      <w:r w:rsidR="00073BE6" w:rsidRPr="00566B21">
        <w:rPr>
          <w:rFonts w:ascii="Times New Roman" w:hAnsi="Times New Roman" w:cs="Times New Roman"/>
          <w:b/>
          <w:sz w:val="28"/>
          <w:szCs w:val="28"/>
          <w:lang w:val="vi-VN"/>
        </w:rPr>
        <w:t>. Với</w:t>
      </w:r>
      <w:r w:rsidR="00073BE6" w:rsidRPr="00566B21">
        <w:rPr>
          <w:rFonts w:ascii="Times New Roman" w:hAnsi="Times New Roman" w:cs="Times New Roman"/>
          <w:sz w:val="28"/>
          <w:szCs w:val="28"/>
          <w:lang w:val="vi-VN"/>
        </w:rPr>
        <w:t xml:space="preserve"> </w:t>
      </w:r>
      <w:r w:rsidR="00D96233" w:rsidRPr="00DD4289">
        <w:rPr>
          <w:rFonts w:ascii="Times New Roman" w:hAnsi="Times New Roman" w:cs="Times New Roman"/>
          <w:b/>
          <w:bCs/>
          <w:sz w:val="28"/>
          <w:szCs w:val="28"/>
          <w:lang w:val="vi-VN"/>
        </w:rPr>
        <w:t xml:space="preserve">Philippines </w:t>
      </w:r>
    </w:p>
    <w:p w14:paraId="5056D059" w14:textId="4C4585F2" w:rsidR="00D96233" w:rsidRPr="00DD4289" w:rsidRDefault="00D96233" w:rsidP="00DD4289">
      <w:pPr>
        <w:spacing w:before="60" w:after="60" w:line="360" w:lineRule="exact"/>
        <w:ind w:firstLine="720"/>
        <w:jc w:val="both"/>
        <w:rPr>
          <w:rFonts w:ascii="Times New Roman" w:hAnsi="Times New Roman" w:cs="Times New Roman"/>
          <w:sz w:val="28"/>
          <w:szCs w:val="28"/>
          <w:lang w:val="vi-VN"/>
        </w:rPr>
      </w:pPr>
      <w:r w:rsidRPr="00DD4289">
        <w:rPr>
          <w:rFonts w:ascii="Times New Roman" w:hAnsi="Times New Roman" w:cs="Times New Roman"/>
          <w:sz w:val="28"/>
          <w:szCs w:val="28"/>
          <w:lang w:val="vi-VN"/>
        </w:rPr>
        <w:t xml:space="preserve">Theo Bộ Ngoại giao Philippines, từ ngày 16/01/2026, công dân Trung Quốc sẽ được phép nhập cảnh Philippines mà không cần thị thực, với thời gian lưu trú tối đa lên tới hai tuần. </w:t>
      </w:r>
      <w:r w:rsidR="00601100" w:rsidRPr="002C0777">
        <w:rPr>
          <w:rFonts w:ascii="Times New Roman" w:hAnsi="Times New Roman" w:cs="Times New Roman"/>
          <w:sz w:val="28"/>
          <w:szCs w:val="28"/>
          <w:lang w:val="vi-VN"/>
        </w:rPr>
        <w:t xml:space="preserve">Chính sách </w:t>
      </w:r>
      <w:r w:rsidRPr="00DD4289">
        <w:rPr>
          <w:rFonts w:ascii="Times New Roman" w:hAnsi="Times New Roman" w:cs="Times New Roman"/>
          <w:sz w:val="28"/>
          <w:szCs w:val="28"/>
          <w:lang w:val="vi-VN"/>
        </w:rPr>
        <w:t>miễn thị thực này sẽ áp dụng cho công dân Trung Quốc nhập cảnh Philippines với mục đích du lịch và công tác, tuy nhiên chỉ áp dụng đối với những người nhập cảnh qua Sân bay quốc tế Ninoy Aquino tại Vùng đô thị Manila và Sân bay quốc tế Mactan-Cebu tạ</w:t>
      </w:r>
      <w:r w:rsidR="00187C6B" w:rsidRPr="00DD4289">
        <w:rPr>
          <w:rFonts w:ascii="Times New Roman" w:hAnsi="Times New Roman" w:cs="Times New Roman"/>
          <w:sz w:val="28"/>
          <w:szCs w:val="28"/>
          <w:lang w:val="vi-VN"/>
        </w:rPr>
        <w:t xml:space="preserve">i Cebu. </w:t>
      </w:r>
    </w:p>
    <w:p w14:paraId="43FD854D" w14:textId="0ECC724A" w:rsidR="002C0777" w:rsidRPr="000E06AE" w:rsidRDefault="00D96233" w:rsidP="00E73E2A">
      <w:pPr>
        <w:spacing w:before="60" w:after="60" w:line="360" w:lineRule="exact"/>
        <w:ind w:firstLine="720"/>
        <w:jc w:val="both"/>
        <w:rPr>
          <w:rFonts w:ascii="Times New Roman" w:hAnsi="Times New Roman" w:cs="Times New Roman"/>
          <w:sz w:val="28"/>
          <w:szCs w:val="28"/>
          <w:lang w:val="vi-VN"/>
        </w:rPr>
      </w:pPr>
      <w:r w:rsidRPr="00DD4289">
        <w:rPr>
          <w:rFonts w:ascii="Times New Roman" w:hAnsi="Times New Roman" w:cs="Times New Roman"/>
          <w:sz w:val="28"/>
          <w:szCs w:val="28"/>
          <w:lang w:val="vi-VN"/>
        </w:rPr>
        <w:t>Thời gian lưu trú theo diện này sẽ không được gia hạn, cũng không được chuyển đổi sang bất kỳ loại thị thực nào khác. Chính sách miễn thị thực dự kiến có hiệu lực trong thời hạn một năm, và sẽ được xem xét trước khi hết hạn vào năm 2027.</w:t>
      </w:r>
    </w:p>
    <w:p w14:paraId="2E05B04F" w14:textId="032DFDAA" w:rsidR="00827B91" w:rsidRPr="00DD4289" w:rsidRDefault="00FE659E" w:rsidP="00DD4289">
      <w:pPr>
        <w:spacing w:before="60" w:after="60" w:line="360" w:lineRule="exact"/>
        <w:ind w:firstLine="720"/>
        <w:jc w:val="both"/>
        <w:rPr>
          <w:rFonts w:ascii="Times New Roman" w:hAnsi="Times New Roman" w:cs="Times New Roman"/>
          <w:b/>
          <w:color w:val="000000" w:themeColor="text1"/>
          <w:sz w:val="28"/>
          <w:szCs w:val="28"/>
          <w:lang w:val="vi-VN"/>
        </w:rPr>
      </w:pPr>
      <w:r w:rsidRPr="00DD4289">
        <w:rPr>
          <w:rFonts w:ascii="Times New Roman" w:hAnsi="Times New Roman" w:cs="Times New Roman"/>
          <w:b/>
          <w:color w:val="000000" w:themeColor="text1"/>
          <w:sz w:val="28"/>
          <w:szCs w:val="28"/>
          <w:lang w:val="vi-VN"/>
        </w:rPr>
        <w:t>I</w:t>
      </w:r>
      <w:r w:rsidR="009264DE" w:rsidRPr="00DD4289">
        <w:rPr>
          <w:rFonts w:ascii="Times New Roman" w:hAnsi="Times New Roman" w:cs="Times New Roman"/>
          <w:b/>
          <w:color w:val="000000" w:themeColor="text1"/>
          <w:sz w:val="28"/>
          <w:szCs w:val="28"/>
          <w:lang w:val="vi-VN"/>
        </w:rPr>
        <w:t xml:space="preserve">V. </w:t>
      </w:r>
      <w:r w:rsidR="00AD3B23" w:rsidRPr="00DD4289">
        <w:rPr>
          <w:rFonts w:ascii="Times New Roman" w:hAnsi="Times New Roman" w:cs="Times New Roman"/>
          <w:b/>
          <w:color w:val="000000" w:themeColor="text1"/>
          <w:sz w:val="28"/>
          <w:szCs w:val="28"/>
          <w:lang w:val="vi-VN"/>
        </w:rPr>
        <w:t xml:space="preserve">Các chính sách của </w:t>
      </w:r>
      <w:r w:rsidR="00CA71F5" w:rsidRPr="00DD4289">
        <w:rPr>
          <w:rFonts w:ascii="Times New Roman" w:hAnsi="Times New Roman" w:cs="Times New Roman"/>
          <w:b/>
          <w:color w:val="000000" w:themeColor="text1"/>
          <w:sz w:val="28"/>
          <w:szCs w:val="28"/>
          <w:lang w:val="vi-VN"/>
        </w:rPr>
        <w:t>Trung Quốc</w:t>
      </w:r>
    </w:p>
    <w:p w14:paraId="710671E5" w14:textId="45678EA2" w:rsidR="00B40FA8" w:rsidRPr="00DD4289" w:rsidRDefault="00B40FA8" w:rsidP="00DD4289">
      <w:pPr>
        <w:spacing w:before="60" w:after="60" w:line="360" w:lineRule="exact"/>
        <w:ind w:firstLine="720"/>
        <w:jc w:val="both"/>
        <w:rPr>
          <w:rFonts w:ascii="Times New Roman" w:hAnsi="Times New Roman" w:cs="Times New Roman"/>
          <w:b/>
          <w:bCs/>
          <w:sz w:val="28"/>
          <w:szCs w:val="28"/>
          <w:lang w:val="vi-VN"/>
        </w:rPr>
      </w:pPr>
      <w:r w:rsidRPr="00DD4289">
        <w:rPr>
          <w:rFonts w:ascii="Times New Roman" w:hAnsi="Times New Roman" w:cs="Times New Roman"/>
          <w:b/>
          <w:bCs/>
          <w:sz w:val="28"/>
          <w:szCs w:val="28"/>
          <w:lang w:val="vi-VN"/>
        </w:rPr>
        <w:t xml:space="preserve">1. </w:t>
      </w:r>
      <w:r w:rsidR="00F916E1" w:rsidRPr="00F916E1">
        <w:rPr>
          <w:rFonts w:ascii="Times New Roman" w:hAnsi="Times New Roman" w:cs="Times New Roman"/>
          <w:b/>
          <w:bCs/>
          <w:sz w:val="28"/>
          <w:szCs w:val="28"/>
          <w:lang w:val="vi-VN"/>
        </w:rPr>
        <w:t>T</w:t>
      </w:r>
      <w:r w:rsidR="00F916E1" w:rsidRPr="00A667D3">
        <w:rPr>
          <w:rFonts w:ascii="Times New Roman" w:hAnsi="Times New Roman" w:cs="Times New Roman"/>
          <w:b/>
          <w:bCs/>
          <w:sz w:val="28"/>
          <w:szCs w:val="28"/>
          <w:lang w:val="vi-VN"/>
        </w:rPr>
        <w:t>ám</w:t>
      </w:r>
      <w:r w:rsidR="00386CCF" w:rsidRPr="00DD4289">
        <w:rPr>
          <w:rFonts w:ascii="Times New Roman" w:hAnsi="Times New Roman" w:cs="Times New Roman"/>
          <w:b/>
          <w:bCs/>
          <w:sz w:val="28"/>
          <w:szCs w:val="28"/>
          <w:lang w:val="vi-VN"/>
        </w:rPr>
        <w:t xml:space="preserve"> nhiệm vụ trọng điểm về thương mại năm 2026 </w:t>
      </w:r>
    </w:p>
    <w:p w14:paraId="1D252238" w14:textId="77777777" w:rsidR="003D5086" w:rsidRPr="00566B21" w:rsidRDefault="00B40FA8" w:rsidP="00DD4289">
      <w:pPr>
        <w:spacing w:before="60" w:after="60" w:line="360" w:lineRule="exact"/>
        <w:ind w:firstLine="720"/>
        <w:jc w:val="both"/>
        <w:rPr>
          <w:rFonts w:ascii="Times New Roman" w:hAnsi="Times New Roman" w:cs="Times New Roman"/>
          <w:b/>
          <w:bCs/>
          <w:sz w:val="28"/>
          <w:szCs w:val="28"/>
          <w:lang w:val="vi-VN"/>
        </w:rPr>
      </w:pPr>
      <w:r w:rsidRPr="00DD4289">
        <w:rPr>
          <w:rFonts w:ascii="Times New Roman" w:hAnsi="Times New Roman" w:cs="Times New Roman"/>
          <w:bCs/>
          <w:sz w:val="28"/>
          <w:szCs w:val="28"/>
          <w:lang w:val="vi-VN"/>
        </w:rPr>
        <w:t>Từ ngày 10-11/</w:t>
      </w:r>
      <w:r w:rsidRPr="00566B21">
        <w:rPr>
          <w:rFonts w:ascii="Times New Roman" w:hAnsi="Times New Roman" w:cs="Times New Roman"/>
          <w:bCs/>
          <w:sz w:val="28"/>
          <w:szCs w:val="28"/>
          <w:lang w:val="vi-VN"/>
        </w:rPr>
        <w:t>01/2026</w:t>
      </w:r>
      <w:r w:rsidRPr="00DD4289">
        <w:rPr>
          <w:rFonts w:ascii="Times New Roman" w:hAnsi="Times New Roman" w:cs="Times New Roman"/>
          <w:bCs/>
          <w:sz w:val="28"/>
          <w:szCs w:val="28"/>
          <w:lang w:val="vi-VN"/>
        </w:rPr>
        <w:t xml:space="preserve">, Hội nghị Công tác Thương mại toàn quốc </w:t>
      </w:r>
      <w:r w:rsidRPr="00566B21">
        <w:rPr>
          <w:rFonts w:ascii="Times New Roman" w:hAnsi="Times New Roman" w:cs="Times New Roman"/>
          <w:bCs/>
          <w:sz w:val="28"/>
          <w:szCs w:val="28"/>
          <w:lang w:val="vi-VN"/>
        </w:rPr>
        <w:t xml:space="preserve">đã diễn ra </w:t>
      </w:r>
      <w:r w:rsidRPr="00DD4289">
        <w:rPr>
          <w:rFonts w:ascii="Times New Roman" w:hAnsi="Times New Roman" w:cs="Times New Roman"/>
          <w:bCs/>
          <w:sz w:val="28"/>
          <w:szCs w:val="28"/>
          <w:lang w:val="vi-VN"/>
        </w:rPr>
        <w:t xml:space="preserve">tại Bắc Kinh, trong đó </w:t>
      </w:r>
      <w:r w:rsidRPr="00DD4289">
        <w:rPr>
          <w:rFonts w:ascii="Times New Roman" w:hAnsi="Times New Roman" w:cs="Times New Roman"/>
          <w:sz w:val="28"/>
          <w:szCs w:val="28"/>
          <w:lang w:val="vi-VN"/>
        </w:rPr>
        <w:t xml:space="preserve">xác định, trong năm 2026, hệ thống thương mại toàn quốc của Trung Quốc cần tập trung vào 8 nhiệm vụ trọng điểm: </w:t>
      </w:r>
    </w:p>
    <w:p w14:paraId="3EE79178" w14:textId="77777777" w:rsidR="003D5086" w:rsidRPr="00DD4289" w:rsidRDefault="003D5086" w:rsidP="00DD4289">
      <w:pPr>
        <w:spacing w:before="60" w:after="60" w:line="360" w:lineRule="exact"/>
        <w:ind w:firstLine="720"/>
        <w:jc w:val="both"/>
        <w:rPr>
          <w:rFonts w:ascii="Times New Roman" w:hAnsi="Times New Roman" w:cs="Times New Roman"/>
          <w:b/>
          <w:bCs/>
          <w:sz w:val="28"/>
          <w:szCs w:val="28"/>
          <w:lang w:val="vi-VN"/>
        </w:rPr>
      </w:pPr>
      <w:r w:rsidRPr="00566B21">
        <w:rPr>
          <w:rFonts w:ascii="Times New Roman" w:hAnsi="Times New Roman" w:cs="Times New Roman"/>
          <w:bCs/>
          <w:sz w:val="28"/>
          <w:szCs w:val="28"/>
          <w:lang w:val="vi-VN"/>
        </w:rPr>
        <w:t>(i)</w:t>
      </w:r>
      <w:r w:rsidRPr="00566B21">
        <w:rPr>
          <w:rFonts w:ascii="Times New Roman" w:hAnsi="Times New Roman" w:cs="Times New Roman"/>
          <w:b/>
          <w:bCs/>
          <w:sz w:val="28"/>
          <w:szCs w:val="28"/>
          <w:lang w:val="vi-VN"/>
        </w:rPr>
        <w:t xml:space="preserve"> </w:t>
      </w:r>
      <w:r w:rsidRPr="00566B21">
        <w:rPr>
          <w:rFonts w:ascii="Times New Roman" w:hAnsi="Times New Roman" w:cs="Times New Roman"/>
          <w:sz w:val="28"/>
          <w:szCs w:val="28"/>
          <w:lang w:val="vi-VN"/>
        </w:rPr>
        <w:t>T</w:t>
      </w:r>
      <w:r w:rsidR="00B40FA8" w:rsidRPr="00DD4289">
        <w:rPr>
          <w:rFonts w:ascii="Times New Roman" w:hAnsi="Times New Roman" w:cs="Times New Roman"/>
          <w:sz w:val="28"/>
          <w:szCs w:val="28"/>
          <w:lang w:val="vi-VN"/>
        </w:rPr>
        <w:t xml:space="preserve">hực hiện sâu rộng các biện pháp đặc biệt để thúc đẩy tiêu dùng và xây dựng thương hiệu “Mua sắm tại Trung Quốc”. Tối ưu hóa việc thực hiện chính </w:t>
      </w:r>
      <w:r w:rsidR="00B40FA8" w:rsidRPr="00DD4289">
        <w:rPr>
          <w:rFonts w:ascii="Times New Roman" w:hAnsi="Times New Roman" w:cs="Times New Roman"/>
          <w:sz w:val="28"/>
          <w:szCs w:val="28"/>
          <w:lang w:val="vi-VN"/>
        </w:rPr>
        <w:lastRenderedPageBreak/>
        <w:t xml:space="preserve">sách “đổi cũ lấy mới” hàng tiêu dùng, thúc đẩy mở rộng và nâng cấp tiêu dùng hàng hóa. Phát triển tiêu dùng số, tiêu dùng xanh và tiêu dùng lành mạnh. </w:t>
      </w:r>
    </w:p>
    <w:p w14:paraId="489B3AEF" w14:textId="007112F5" w:rsidR="003D5086" w:rsidRPr="00DD4289" w:rsidRDefault="003D5086" w:rsidP="00DD4289">
      <w:pPr>
        <w:spacing w:before="60" w:after="60" w:line="360" w:lineRule="exact"/>
        <w:ind w:firstLine="720"/>
        <w:jc w:val="both"/>
        <w:rPr>
          <w:rFonts w:ascii="Times New Roman" w:hAnsi="Times New Roman" w:cs="Times New Roman"/>
          <w:b/>
          <w:bCs/>
          <w:sz w:val="28"/>
          <w:szCs w:val="28"/>
          <w:lang w:val="vi-VN"/>
        </w:rPr>
      </w:pPr>
      <w:r w:rsidRPr="00DD4289">
        <w:rPr>
          <w:rFonts w:ascii="Times New Roman" w:hAnsi="Times New Roman" w:cs="Times New Roman"/>
          <w:bCs/>
          <w:sz w:val="28"/>
          <w:szCs w:val="28"/>
          <w:lang w:val="vi-VN"/>
        </w:rPr>
        <w:t>(ii)</w:t>
      </w:r>
      <w:r w:rsidRPr="00DD4289">
        <w:rPr>
          <w:rFonts w:ascii="Times New Roman" w:hAnsi="Times New Roman" w:cs="Times New Roman"/>
          <w:b/>
          <w:bCs/>
          <w:sz w:val="28"/>
          <w:szCs w:val="28"/>
          <w:lang w:val="vi-VN"/>
        </w:rPr>
        <w:t xml:space="preserve"> </w:t>
      </w:r>
      <w:r w:rsidRPr="00DD4289">
        <w:rPr>
          <w:rFonts w:ascii="Times New Roman" w:hAnsi="Times New Roman" w:cs="Times New Roman"/>
          <w:sz w:val="28"/>
          <w:szCs w:val="28"/>
          <w:lang w:val="vi-VN"/>
        </w:rPr>
        <w:t>K</w:t>
      </w:r>
      <w:r w:rsidR="00B40FA8" w:rsidRPr="00DD4289">
        <w:rPr>
          <w:rFonts w:ascii="Times New Roman" w:hAnsi="Times New Roman" w:cs="Times New Roman"/>
          <w:sz w:val="28"/>
          <w:szCs w:val="28"/>
          <w:lang w:val="vi-VN"/>
        </w:rPr>
        <w:t>iện toàn hệ thống lưu thông và thị trường hiện đại, thúc đẩy xây dựng thị trường quốc gia thống nhấ</w:t>
      </w:r>
      <w:r w:rsidRPr="00DD4289">
        <w:rPr>
          <w:rFonts w:ascii="Times New Roman" w:hAnsi="Times New Roman" w:cs="Times New Roman"/>
          <w:sz w:val="28"/>
          <w:szCs w:val="28"/>
          <w:lang w:val="vi-VN"/>
        </w:rPr>
        <w:t>t; t</w:t>
      </w:r>
      <w:r w:rsidR="00B40FA8" w:rsidRPr="00DD4289">
        <w:rPr>
          <w:rFonts w:ascii="Times New Roman" w:hAnsi="Times New Roman" w:cs="Times New Roman"/>
          <w:sz w:val="28"/>
          <w:szCs w:val="28"/>
          <w:lang w:val="vi-VN"/>
        </w:rPr>
        <w:t xml:space="preserve">húc đẩy hội nhập thương mại trong nước và quốc tế. </w:t>
      </w:r>
    </w:p>
    <w:p w14:paraId="58482E80" w14:textId="014ADE38" w:rsidR="003D5086" w:rsidRPr="00DD4289" w:rsidRDefault="003D5086" w:rsidP="00DD4289">
      <w:pPr>
        <w:spacing w:before="60" w:after="60" w:line="360" w:lineRule="exact"/>
        <w:ind w:firstLine="720"/>
        <w:jc w:val="both"/>
        <w:rPr>
          <w:rFonts w:ascii="Times New Roman" w:hAnsi="Times New Roman" w:cs="Times New Roman"/>
          <w:b/>
          <w:bCs/>
          <w:sz w:val="28"/>
          <w:szCs w:val="28"/>
          <w:lang w:val="vi-VN"/>
        </w:rPr>
      </w:pPr>
      <w:r w:rsidRPr="00DD4289">
        <w:rPr>
          <w:rFonts w:ascii="Times New Roman" w:hAnsi="Times New Roman" w:cs="Times New Roman"/>
          <w:bCs/>
          <w:sz w:val="28"/>
          <w:szCs w:val="28"/>
          <w:lang w:val="vi-VN"/>
        </w:rPr>
        <w:t>(iii)</w:t>
      </w:r>
      <w:r w:rsidRPr="00DD4289">
        <w:rPr>
          <w:rFonts w:ascii="Times New Roman" w:hAnsi="Times New Roman" w:cs="Times New Roman"/>
          <w:b/>
          <w:bCs/>
          <w:sz w:val="28"/>
          <w:szCs w:val="28"/>
          <w:lang w:val="vi-VN"/>
        </w:rPr>
        <w:t xml:space="preserve"> </w:t>
      </w:r>
      <w:r w:rsidRPr="00DD4289">
        <w:rPr>
          <w:rFonts w:ascii="Times New Roman" w:hAnsi="Times New Roman" w:cs="Times New Roman"/>
          <w:sz w:val="28"/>
          <w:szCs w:val="28"/>
          <w:lang w:val="vi-VN"/>
        </w:rPr>
        <w:t>T</w:t>
      </w:r>
      <w:r w:rsidR="00B40FA8" w:rsidRPr="00DD4289">
        <w:rPr>
          <w:rFonts w:ascii="Times New Roman" w:hAnsi="Times New Roman" w:cs="Times New Roman"/>
          <w:sz w:val="28"/>
          <w:szCs w:val="28"/>
          <w:lang w:val="vi-VN"/>
        </w:rPr>
        <w:t>húc đẩy phát triển, đổi mới thương mại và nâng cao thương hiệu “Xuất khẩu Trung Quố</w:t>
      </w:r>
      <w:r w:rsidRPr="00DD4289">
        <w:rPr>
          <w:rFonts w:ascii="Times New Roman" w:hAnsi="Times New Roman" w:cs="Times New Roman"/>
          <w:sz w:val="28"/>
          <w:szCs w:val="28"/>
          <w:lang w:val="vi-VN"/>
        </w:rPr>
        <w:t>c”; t</w:t>
      </w:r>
      <w:r w:rsidR="00B40FA8" w:rsidRPr="00DD4289">
        <w:rPr>
          <w:rFonts w:ascii="Times New Roman" w:hAnsi="Times New Roman" w:cs="Times New Roman"/>
          <w:sz w:val="28"/>
          <w:szCs w:val="28"/>
          <w:lang w:val="vi-VN"/>
        </w:rPr>
        <w:t xml:space="preserve">ối ưu hóa và nâng cấp thương mại hàng hóa, phát triển mạnh thương mại dịch vụ, khuyến khích xuất khẩu dịch vụ, đổi mới và phát triển thương mại số và thương mại xanh, thúc đẩy hội nhập thương mại và đầu tư. </w:t>
      </w:r>
    </w:p>
    <w:p w14:paraId="5CF81DDC" w14:textId="4FED87F3" w:rsidR="0064467F" w:rsidRPr="00DD4289" w:rsidRDefault="003D5086" w:rsidP="00DD4289">
      <w:pPr>
        <w:spacing w:before="60" w:after="60" w:line="360" w:lineRule="exact"/>
        <w:ind w:firstLine="720"/>
        <w:jc w:val="both"/>
        <w:rPr>
          <w:rFonts w:ascii="Times New Roman" w:hAnsi="Times New Roman" w:cs="Times New Roman"/>
          <w:b/>
          <w:bCs/>
          <w:sz w:val="28"/>
          <w:szCs w:val="28"/>
          <w:lang w:val="vi-VN"/>
        </w:rPr>
      </w:pPr>
      <w:r w:rsidRPr="00DD4289">
        <w:rPr>
          <w:rFonts w:ascii="Times New Roman" w:hAnsi="Times New Roman" w:cs="Times New Roman"/>
          <w:bCs/>
          <w:sz w:val="28"/>
          <w:szCs w:val="28"/>
          <w:lang w:val="vi-VN"/>
        </w:rPr>
        <w:t>(iv)</w:t>
      </w:r>
      <w:r w:rsidRPr="00DD4289">
        <w:rPr>
          <w:rFonts w:ascii="Times New Roman" w:hAnsi="Times New Roman" w:cs="Times New Roman"/>
          <w:b/>
          <w:bCs/>
          <w:sz w:val="28"/>
          <w:szCs w:val="28"/>
          <w:lang w:val="vi-VN"/>
        </w:rPr>
        <w:t xml:space="preserve"> </w:t>
      </w:r>
      <w:r w:rsidRPr="00DD4289">
        <w:rPr>
          <w:rFonts w:ascii="Times New Roman" w:hAnsi="Times New Roman" w:cs="Times New Roman"/>
          <w:sz w:val="28"/>
          <w:szCs w:val="28"/>
          <w:lang w:val="vi-VN"/>
        </w:rPr>
        <w:t xml:space="preserve">Tạo </w:t>
      </w:r>
      <w:r w:rsidR="00B40FA8" w:rsidRPr="00DD4289">
        <w:rPr>
          <w:rFonts w:ascii="Times New Roman" w:hAnsi="Times New Roman" w:cs="Times New Roman"/>
          <w:sz w:val="28"/>
          <w:szCs w:val="28"/>
          <w:lang w:val="vi-VN"/>
        </w:rPr>
        <w:t>lợi thế mới để thu hút đầu tư nước ngoài và nâng cao thương hiệu “Đầu tư vào Trung Quố</w:t>
      </w:r>
      <w:r w:rsidRPr="00DD4289">
        <w:rPr>
          <w:rFonts w:ascii="Times New Roman" w:hAnsi="Times New Roman" w:cs="Times New Roman"/>
          <w:sz w:val="28"/>
          <w:szCs w:val="28"/>
          <w:lang w:val="vi-VN"/>
        </w:rPr>
        <w:t>c”; m</w:t>
      </w:r>
      <w:r w:rsidR="00B40FA8" w:rsidRPr="00DD4289">
        <w:rPr>
          <w:rFonts w:ascii="Times New Roman" w:hAnsi="Times New Roman" w:cs="Times New Roman"/>
          <w:sz w:val="28"/>
          <w:szCs w:val="28"/>
          <w:lang w:val="vi-VN"/>
        </w:rPr>
        <w:t>ở rộng có trật tự việc mở cửa tự chủ lĩnh vực dịch vụ, nâng cao mức độ xúc tiến đầu tư và cải thiện hệ thống bảo lãnh dịch vụ cho đầu tư nước ngoài.</w:t>
      </w:r>
      <w:r w:rsidR="0064467F" w:rsidRPr="00DD4289">
        <w:rPr>
          <w:rFonts w:ascii="Times New Roman" w:hAnsi="Times New Roman" w:cs="Times New Roman"/>
          <w:sz w:val="28"/>
          <w:szCs w:val="28"/>
          <w:lang w:val="vi-VN"/>
        </w:rPr>
        <w:t xml:space="preserve"> </w:t>
      </w:r>
    </w:p>
    <w:p w14:paraId="63E66A99" w14:textId="77777777" w:rsidR="0064467F" w:rsidRPr="00DD4289" w:rsidRDefault="0064467F" w:rsidP="00DD4289">
      <w:pPr>
        <w:spacing w:before="60" w:after="60" w:line="360" w:lineRule="exact"/>
        <w:ind w:firstLine="720"/>
        <w:jc w:val="both"/>
        <w:rPr>
          <w:rFonts w:ascii="Times New Roman" w:hAnsi="Times New Roman" w:cs="Times New Roman"/>
          <w:sz w:val="28"/>
          <w:szCs w:val="28"/>
          <w:lang w:val="vi-VN"/>
        </w:rPr>
      </w:pPr>
      <w:r w:rsidRPr="00DD4289">
        <w:rPr>
          <w:rFonts w:ascii="Times New Roman" w:hAnsi="Times New Roman" w:cs="Times New Roman"/>
          <w:bCs/>
          <w:sz w:val="28"/>
          <w:szCs w:val="28"/>
          <w:lang w:val="vi-VN"/>
        </w:rPr>
        <w:t>(v)</w:t>
      </w:r>
      <w:r w:rsidRPr="00DD4289">
        <w:rPr>
          <w:rFonts w:ascii="Times New Roman" w:hAnsi="Times New Roman" w:cs="Times New Roman"/>
          <w:b/>
          <w:bCs/>
          <w:sz w:val="28"/>
          <w:szCs w:val="28"/>
          <w:lang w:val="vi-VN"/>
        </w:rPr>
        <w:t xml:space="preserve"> </w:t>
      </w:r>
      <w:r w:rsidRPr="00DD4289">
        <w:rPr>
          <w:rFonts w:ascii="Times New Roman" w:hAnsi="Times New Roman" w:cs="Times New Roman"/>
          <w:sz w:val="28"/>
          <w:szCs w:val="28"/>
          <w:lang w:val="vi-VN"/>
        </w:rPr>
        <w:t>K</w:t>
      </w:r>
      <w:r w:rsidR="00B40FA8" w:rsidRPr="00DD4289">
        <w:rPr>
          <w:rFonts w:ascii="Times New Roman" w:hAnsi="Times New Roman" w:cs="Times New Roman"/>
          <w:sz w:val="28"/>
          <w:szCs w:val="28"/>
          <w:lang w:val="vi-VN"/>
        </w:rPr>
        <w:t>ết nối với các quy tắc kinh tế thương mại tiêu chuẩn cao quốc tế và tiếp tục thúc đẩy xây dựng điểm sáng về mở cửa. Thực hiện sâu rộng, toàn diện chiến lược nâng cấp khu thương mại tự do, tiếp tục nâng cao mức độ tự do hóa và tạo thuận lợi cho thương mại và đầu tư tại Cảng Thương mại tự do Hả</w:t>
      </w:r>
      <w:r w:rsidRPr="00DD4289">
        <w:rPr>
          <w:rFonts w:ascii="Times New Roman" w:hAnsi="Times New Roman" w:cs="Times New Roman"/>
          <w:sz w:val="28"/>
          <w:szCs w:val="28"/>
          <w:lang w:val="vi-VN"/>
        </w:rPr>
        <w:t>i Nam.</w:t>
      </w:r>
    </w:p>
    <w:p w14:paraId="3EE100C4" w14:textId="77777777" w:rsidR="0064467F" w:rsidRPr="00DD4289" w:rsidRDefault="0064467F" w:rsidP="00DD4289">
      <w:pPr>
        <w:spacing w:before="60" w:after="60" w:line="360" w:lineRule="exact"/>
        <w:ind w:firstLine="720"/>
        <w:jc w:val="both"/>
        <w:rPr>
          <w:rFonts w:ascii="Times New Roman" w:hAnsi="Times New Roman" w:cs="Times New Roman"/>
          <w:b/>
          <w:bCs/>
          <w:sz w:val="28"/>
          <w:szCs w:val="28"/>
          <w:lang w:val="vi-VN"/>
        </w:rPr>
      </w:pPr>
      <w:r w:rsidRPr="00DD4289">
        <w:rPr>
          <w:rFonts w:ascii="Times New Roman" w:hAnsi="Times New Roman" w:cs="Times New Roman"/>
          <w:sz w:val="28"/>
          <w:szCs w:val="28"/>
          <w:lang w:val="vi-VN"/>
        </w:rPr>
        <w:t>(vi) T</w:t>
      </w:r>
      <w:r w:rsidR="00B40FA8" w:rsidRPr="00DD4289">
        <w:rPr>
          <w:rFonts w:ascii="Times New Roman" w:hAnsi="Times New Roman" w:cs="Times New Roman"/>
          <w:sz w:val="28"/>
          <w:szCs w:val="28"/>
          <w:lang w:val="vi-VN"/>
        </w:rPr>
        <w:t xml:space="preserve">hực hiện hiệu quả quản lý đầu tư nước ngoài và hướng dẫn bố trí hợp lý và có trật tự các chuỗi sản xuất và cung ứng xuyên biên giới. </w:t>
      </w:r>
    </w:p>
    <w:p w14:paraId="1B3162A6" w14:textId="77777777" w:rsidR="0064467F" w:rsidRPr="00DD4289" w:rsidRDefault="0064467F" w:rsidP="00DD4289">
      <w:pPr>
        <w:spacing w:before="60" w:after="60" w:line="360" w:lineRule="exact"/>
        <w:ind w:firstLine="720"/>
        <w:jc w:val="both"/>
        <w:rPr>
          <w:rFonts w:ascii="Times New Roman" w:hAnsi="Times New Roman" w:cs="Times New Roman"/>
          <w:b/>
          <w:bCs/>
          <w:sz w:val="28"/>
          <w:szCs w:val="28"/>
          <w:lang w:val="vi-VN"/>
        </w:rPr>
      </w:pPr>
      <w:r w:rsidRPr="00DD4289">
        <w:rPr>
          <w:rFonts w:ascii="Times New Roman" w:hAnsi="Times New Roman" w:cs="Times New Roman"/>
          <w:bCs/>
          <w:sz w:val="28"/>
          <w:szCs w:val="28"/>
          <w:lang w:val="vi-VN"/>
        </w:rPr>
        <w:t>(vii)</w:t>
      </w:r>
      <w:r w:rsidRPr="00DD4289">
        <w:rPr>
          <w:rFonts w:ascii="Times New Roman" w:hAnsi="Times New Roman" w:cs="Times New Roman"/>
          <w:b/>
          <w:bCs/>
          <w:sz w:val="28"/>
          <w:szCs w:val="28"/>
          <w:lang w:val="vi-VN"/>
        </w:rPr>
        <w:t xml:space="preserve"> </w:t>
      </w:r>
      <w:r w:rsidRPr="00DD4289">
        <w:rPr>
          <w:rFonts w:ascii="Times New Roman" w:hAnsi="Times New Roman" w:cs="Times New Roman"/>
          <w:sz w:val="28"/>
          <w:szCs w:val="28"/>
          <w:lang w:val="vi-VN"/>
        </w:rPr>
        <w:t>L</w:t>
      </w:r>
      <w:r w:rsidR="00B40FA8" w:rsidRPr="00DD4289">
        <w:rPr>
          <w:rFonts w:ascii="Times New Roman" w:hAnsi="Times New Roman" w:cs="Times New Roman"/>
          <w:sz w:val="28"/>
          <w:szCs w:val="28"/>
          <w:lang w:val="vi-VN"/>
        </w:rPr>
        <w:t xml:space="preserve">àm sâu sắc thêm hợp tác kinh tế và thương mại đa phương và song phương và thúc đẩy hợp tác cùng có lợi trên nhiều lĩnh vực. </w:t>
      </w:r>
    </w:p>
    <w:p w14:paraId="7BB11EBD" w14:textId="523B710A" w:rsidR="00B40FA8" w:rsidRPr="00DD4289" w:rsidRDefault="0064467F" w:rsidP="00DD4289">
      <w:pPr>
        <w:spacing w:before="60" w:after="60" w:line="360" w:lineRule="exact"/>
        <w:ind w:firstLine="720"/>
        <w:jc w:val="both"/>
        <w:rPr>
          <w:rFonts w:ascii="Times New Roman" w:hAnsi="Times New Roman" w:cs="Times New Roman"/>
          <w:b/>
          <w:bCs/>
          <w:sz w:val="28"/>
          <w:szCs w:val="28"/>
          <w:lang w:val="vi-VN"/>
        </w:rPr>
      </w:pPr>
      <w:r w:rsidRPr="00DD4289">
        <w:rPr>
          <w:rFonts w:ascii="Times New Roman" w:hAnsi="Times New Roman" w:cs="Times New Roman"/>
          <w:bCs/>
          <w:sz w:val="28"/>
          <w:szCs w:val="28"/>
          <w:lang w:val="vi-VN"/>
        </w:rPr>
        <w:t>(viii)</w:t>
      </w:r>
      <w:r w:rsidRPr="00DD4289">
        <w:rPr>
          <w:rFonts w:ascii="Times New Roman" w:hAnsi="Times New Roman" w:cs="Times New Roman"/>
          <w:b/>
          <w:bCs/>
          <w:sz w:val="28"/>
          <w:szCs w:val="28"/>
          <w:lang w:val="vi-VN"/>
        </w:rPr>
        <w:t xml:space="preserve"> </w:t>
      </w:r>
      <w:r w:rsidRPr="00DD4289">
        <w:rPr>
          <w:rFonts w:ascii="Times New Roman" w:hAnsi="Times New Roman" w:cs="Times New Roman"/>
          <w:sz w:val="28"/>
          <w:szCs w:val="28"/>
          <w:lang w:val="vi-VN"/>
        </w:rPr>
        <w:t>P</w:t>
      </w:r>
      <w:r w:rsidR="00B40FA8" w:rsidRPr="00DD4289">
        <w:rPr>
          <w:rFonts w:ascii="Times New Roman" w:hAnsi="Times New Roman" w:cs="Times New Roman"/>
          <w:sz w:val="28"/>
          <w:szCs w:val="28"/>
          <w:lang w:val="vi-VN"/>
        </w:rPr>
        <w:t>hòng ngừa, hóa giải rủi ro và xây dựng một mạng lưới mở cửa an toàn vững chắc. Hoàn thiện hệ thống pháp luật liên quan đến nước ngoài, hoàn thiện cơ chế kiểm soát xuất khẩu và rà soát an ninh, kiện toàn cơ chế phòng ngừa rủi ro thương mại và bảo vệ khả năng phục hồi và an ninh của chuỗi sản xuất và cung ứng.</w:t>
      </w:r>
      <w:r w:rsidR="00265C6F" w:rsidRPr="00DD4289">
        <w:rPr>
          <w:rFonts w:ascii="Times New Roman" w:hAnsi="Times New Roman" w:cs="Times New Roman"/>
          <w:sz w:val="28"/>
          <w:szCs w:val="28"/>
          <w:lang w:val="vi-VN"/>
        </w:rPr>
        <w:t xml:space="preserve"> </w:t>
      </w:r>
    </w:p>
    <w:p w14:paraId="1645B2EA" w14:textId="53216C4B" w:rsidR="00187C6B" w:rsidRPr="00CE4BC5" w:rsidRDefault="00187C6B" w:rsidP="00DD4289">
      <w:pPr>
        <w:spacing w:before="60" w:after="60" w:line="360" w:lineRule="exact"/>
        <w:ind w:firstLine="720"/>
        <w:jc w:val="both"/>
        <w:rPr>
          <w:rFonts w:ascii="Times New Roman" w:eastAsia="Times New Roman" w:hAnsi="Times New Roman" w:cs="Times New Roman"/>
          <w:b/>
          <w:sz w:val="28"/>
          <w:szCs w:val="28"/>
          <w:lang w:eastAsia="zh-CN"/>
        </w:rPr>
      </w:pPr>
      <w:r w:rsidRPr="00CE4BC5">
        <w:rPr>
          <w:rFonts w:ascii="Times New Roman" w:eastAsia="Times New Roman" w:hAnsi="Times New Roman" w:cs="Times New Roman"/>
          <w:b/>
          <w:sz w:val="28"/>
          <w:szCs w:val="28"/>
          <w:lang w:eastAsia="zh-CN"/>
        </w:rPr>
        <w:t xml:space="preserve">2. Thúc đẩy tiêu dùng trong nước </w:t>
      </w:r>
    </w:p>
    <w:p w14:paraId="68F55F23" w14:textId="7755A7DA" w:rsidR="00187C6B" w:rsidRPr="00DD4289" w:rsidRDefault="00187C6B" w:rsidP="00DD4289">
      <w:pPr>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Bên cạnh việc tiếp tục triển khai các nội dung hiện có, Kế hoạch triển khai tối ưu chính sách “Hai mới”</w:t>
      </w:r>
      <w:r w:rsidR="00A667D3">
        <w:rPr>
          <w:rStyle w:val="FootnoteReference"/>
          <w:rFonts w:ascii="Times New Roman" w:hAnsi="Times New Roman" w:cs="Times New Roman"/>
          <w:bCs/>
          <w:sz w:val="28"/>
          <w:szCs w:val="28"/>
          <w:lang w:val="vi-VN"/>
        </w:rPr>
        <w:footnoteReference w:id="1"/>
      </w:r>
      <w:r w:rsidRPr="00DD4289">
        <w:rPr>
          <w:rFonts w:ascii="Times New Roman" w:hAnsi="Times New Roman" w:cs="Times New Roman"/>
          <w:bCs/>
          <w:sz w:val="28"/>
          <w:szCs w:val="28"/>
          <w:lang w:val="vi-VN"/>
        </w:rPr>
        <w:t xml:space="preserve"> năm 2026</w:t>
      </w:r>
      <w:r w:rsidRPr="00DD4289">
        <w:rPr>
          <w:rFonts w:ascii="Times New Roman" w:hAnsi="Times New Roman" w:cs="Times New Roman"/>
          <w:bCs/>
          <w:sz w:val="28"/>
          <w:szCs w:val="28"/>
        </w:rPr>
        <w:t xml:space="preserve"> </w:t>
      </w:r>
      <w:r w:rsidRPr="00DD4289">
        <w:rPr>
          <w:rFonts w:ascii="Times New Roman" w:hAnsi="Times New Roman" w:cs="Times New Roman"/>
          <w:bCs/>
          <w:sz w:val="28"/>
          <w:szCs w:val="28"/>
          <w:lang w:val="vi-VN"/>
        </w:rPr>
        <w:t xml:space="preserve">được bổ sung các nội dung hỗ trợ cho các lĩnh vực an sinh công cộng như: lắp đặt thêm thang máy tại khu chung cư cũ và các trang thiết bị cần thiết, hệ thống báo cháy và cứu hoả tại các cơ sở dưỡng lão, trung tâm thương mại… </w:t>
      </w:r>
    </w:p>
    <w:p w14:paraId="284FA3DF" w14:textId="77777777" w:rsidR="00187C6B" w:rsidRPr="00DD4289" w:rsidRDefault="00187C6B" w:rsidP="00DD4289">
      <w:pPr>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Chương trình đổi mới hàng hóa tiêu dùng năm 2026 tập trung vào đồ gia dụng với 06 nhóm sản phẩm chính gồm: tủ lạnh, máy giặt, tivi, điều hòa, máy tính và máy nước nóng. Đáng chú ý, các sản phẩm điện tử và thiết bị thông minh </w:t>
      </w:r>
      <w:r w:rsidRPr="00DD4289">
        <w:rPr>
          <w:rFonts w:ascii="Times New Roman" w:hAnsi="Times New Roman" w:cs="Times New Roman"/>
          <w:bCs/>
          <w:sz w:val="28"/>
          <w:szCs w:val="28"/>
          <w:lang w:val="vi-VN"/>
        </w:rPr>
        <w:lastRenderedPageBreak/>
        <w:t xml:space="preserve">(như điện thoại di động, máy tính bảng, đồng hồ/kính/đồ gia dụng thông minh…) cũng xuất hiện trong danh mục được hỗ trợ mua mới. </w:t>
      </w:r>
    </w:p>
    <w:p w14:paraId="124E79E8" w14:textId="77777777" w:rsidR="00187C6B" w:rsidRPr="00DD4289" w:rsidRDefault="00187C6B" w:rsidP="00DD4289">
      <w:pPr>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Chính phủ Trung Quốc đã phân bổ cho các địa phương đợt kinh phí lần 1 năm 2026, trị giá 62,5 tỷ NDT, từ nguồn trái phiếu đặc biệt siêu dài hạn. Các địa phương sẽ căn cứ tình hình thực tế để tổ chức triển khai, với 02 mục tiêu trọng tâm là thúc đẩy tiêu dùng và nâng cấp cơ sở vật chất. </w:t>
      </w:r>
    </w:p>
    <w:p w14:paraId="19BB4964" w14:textId="66438DE8" w:rsidR="00676DCF" w:rsidRPr="006405AD" w:rsidRDefault="00187C6B" w:rsidP="006405AD">
      <w:pPr>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Để triển khai hiệu quả các chủ trương của Trung ương Đảng và Quốc vụ viện, thúc đẩy tài chính công nghệ, Ngân hàng Nhân dân Trung Quốc quyết định tăng thêm 400 tỷ NDT hạn mức tái cấp vốn cho đổi mới công nghệ và nâng cấp thiết bị, nâng tổng hạn mức lên 1.200 tỷ NDT. Đồng thời mở rộng phạm vi hỗ trợ, từ năm 2026 sẽ bao gồm cả doanh nghiệp tư nhân vừa và nhỏ có mức đầu tư R&amp;D cao. </w:t>
      </w:r>
    </w:p>
    <w:p w14:paraId="0AED7801" w14:textId="6AEE3699" w:rsidR="00187C6B" w:rsidRPr="00DD4289" w:rsidRDefault="00187C6B" w:rsidP="00DD4289">
      <w:pPr>
        <w:spacing w:before="60" w:after="60" w:line="360" w:lineRule="exact"/>
        <w:ind w:firstLine="720"/>
        <w:jc w:val="both"/>
        <w:rPr>
          <w:rFonts w:ascii="Times New Roman" w:eastAsia="Times New Roman" w:hAnsi="Times New Roman" w:cs="Times New Roman"/>
          <w:b/>
          <w:sz w:val="28"/>
          <w:szCs w:val="28"/>
          <w:lang w:val="vi-VN" w:eastAsia="zh-CN"/>
        </w:rPr>
      </w:pPr>
      <w:r w:rsidRPr="00DD4289">
        <w:rPr>
          <w:rFonts w:ascii="Times New Roman" w:eastAsia="Times New Roman" w:hAnsi="Times New Roman" w:cs="Times New Roman"/>
          <w:b/>
          <w:sz w:val="28"/>
          <w:szCs w:val="28"/>
          <w:lang w:val="vi-VN" w:eastAsia="zh-CN"/>
        </w:rPr>
        <w:t xml:space="preserve">3. Hỗ trợ khu vực tư nhân và thúc đẩy các ngành công nghệ cao </w:t>
      </w:r>
    </w:p>
    <w:p w14:paraId="65ABF976" w14:textId="7835909B" w:rsidR="00187C6B" w:rsidRPr="00566B21" w:rsidRDefault="00410F52" w:rsidP="00DD4289">
      <w:pPr>
        <w:spacing w:before="60" w:after="60" w:line="360" w:lineRule="exact"/>
        <w:ind w:firstLine="720"/>
        <w:jc w:val="both"/>
        <w:rPr>
          <w:rFonts w:ascii="Times New Roman" w:hAnsi="Times New Roman" w:cs="Times New Roman"/>
          <w:sz w:val="28"/>
          <w:szCs w:val="28"/>
          <w:lang w:val="vi-VN"/>
        </w:rPr>
      </w:pPr>
      <w:r w:rsidRPr="00566B21">
        <w:rPr>
          <w:rFonts w:ascii="Times New Roman" w:hAnsi="Times New Roman" w:cs="Times New Roman"/>
          <w:sz w:val="28"/>
          <w:szCs w:val="28"/>
          <w:lang w:val="vi-VN"/>
        </w:rPr>
        <w:t xml:space="preserve">Ngân hàng Nhân dân Trung Quốc (PBOC) đã công bố hàng loạt biện pháp nới lỏng tiền tệ nhằm giảm chi phí vốn, hỗ trợ khu vực tư nhân và thúc đẩy các ngành công nghệ cao. </w:t>
      </w:r>
      <w:r w:rsidR="00187C6B" w:rsidRPr="00566B21">
        <w:rPr>
          <w:rFonts w:ascii="Times New Roman" w:hAnsi="Times New Roman" w:cs="Times New Roman"/>
          <w:sz w:val="28"/>
          <w:szCs w:val="28"/>
          <w:lang w:val="vi-VN"/>
        </w:rPr>
        <w:t xml:space="preserve">Cụ thể: </w:t>
      </w:r>
    </w:p>
    <w:p w14:paraId="30255ECD" w14:textId="360EEFBF" w:rsidR="00187C6B" w:rsidRPr="00566B21" w:rsidRDefault="00187C6B" w:rsidP="00DD4289">
      <w:pPr>
        <w:spacing w:before="60" w:after="60" w:line="360" w:lineRule="exact"/>
        <w:ind w:firstLine="720"/>
        <w:jc w:val="both"/>
        <w:rPr>
          <w:rFonts w:ascii="Times New Roman" w:hAnsi="Times New Roman" w:cs="Times New Roman"/>
          <w:sz w:val="28"/>
          <w:szCs w:val="28"/>
          <w:lang w:val="vi-VN"/>
        </w:rPr>
      </w:pPr>
      <w:r w:rsidRPr="00566B21">
        <w:rPr>
          <w:rFonts w:ascii="Times New Roman" w:hAnsi="Times New Roman" w:cs="Times New Roman"/>
          <w:sz w:val="28"/>
          <w:szCs w:val="28"/>
          <w:lang w:val="vi-VN"/>
        </w:rPr>
        <w:t>(i) G</w:t>
      </w:r>
      <w:r w:rsidR="00410F52" w:rsidRPr="00566B21">
        <w:rPr>
          <w:rFonts w:ascii="Times New Roman" w:hAnsi="Times New Roman" w:cs="Times New Roman"/>
          <w:sz w:val="28"/>
          <w:szCs w:val="28"/>
          <w:lang w:val="vi-VN"/>
        </w:rPr>
        <w:t>iảm 0,25 điểm phần trăm lãi suất đối với toàn bộ các công cụ chính sách tiền tệ mang tính cơ cấu, từ ngày 19/01/2026. Theo đó, lãi suất cho vay lại kỳ hạn một năm sẽ được điều chỉnh giảm từ mức 1,5% xuống còn 1,25%.</w:t>
      </w:r>
    </w:p>
    <w:p w14:paraId="6EBA0C31" w14:textId="77777777" w:rsidR="00187C6B" w:rsidRPr="00566B21" w:rsidRDefault="00187C6B" w:rsidP="00DD4289">
      <w:pPr>
        <w:spacing w:before="60" w:after="60" w:line="360" w:lineRule="exact"/>
        <w:ind w:firstLine="720"/>
        <w:jc w:val="both"/>
        <w:rPr>
          <w:rFonts w:ascii="Times New Roman" w:hAnsi="Times New Roman" w:cs="Times New Roman"/>
          <w:sz w:val="28"/>
          <w:szCs w:val="28"/>
          <w:lang w:val="vi-VN"/>
        </w:rPr>
      </w:pPr>
      <w:r w:rsidRPr="00566B21">
        <w:rPr>
          <w:rFonts w:ascii="Times New Roman" w:hAnsi="Times New Roman" w:cs="Times New Roman"/>
          <w:sz w:val="28"/>
          <w:szCs w:val="28"/>
          <w:lang w:val="vi-VN"/>
        </w:rPr>
        <w:t>(ii) T</w:t>
      </w:r>
      <w:r w:rsidR="00410F52" w:rsidRPr="00566B21">
        <w:rPr>
          <w:rFonts w:ascii="Times New Roman" w:hAnsi="Times New Roman" w:cs="Times New Roman"/>
          <w:sz w:val="28"/>
          <w:szCs w:val="28"/>
          <w:lang w:val="vi-VN"/>
        </w:rPr>
        <w:t>iếp tục triển khai các gói bơm thanh khoản quy mô lớn, lên tới hàng nghìn tỷ Nhân dân tệ, nhằm bảo đảm dòng vốn được phân bổ có trọng tâm. Trong đó, một hạn mức cho vay lại trị giá 1.000 tỷ Nhân dân tệ (tương đương khoảng 144 tỷ USD) được thiết lập riêng cho các doanh nghiệp tư nhân vừa và nhỏ.</w:t>
      </w:r>
    </w:p>
    <w:p w14:paraId="61F08ADA" w14:textId="77777777" w:rsidR="00187C6B" w:rsidRPr="00566B21" w:rsidRDefault="00187C6B" w:rsidP="00DD4289">
      <w:pPr>
        <w:spacing w:before="60" w:after="60" w:line="360" w:lineRule="exact"/>
        <w:ind w:firstLine="720"/>
        <w:jc w:val="both"/>
        <w:rPr>
          <w:rFonts w:ascii="Times New Roman" w:hAnsi="Times New Roman" w:cs="Times New Roman"/>
          <w:sz w:val="28"/>
          <w:szCs w:val="28"/>
          <w:lang w:val="vi-VN"/>
        </w:rPr>
      </w:pPr>
      <w:r w:rsidRPr="00566B21">
        <w:rPr>
          <w:rFonts w:ascii="Times New Roman" w:hAnsi="Times New Roman" w:cs="Times New Roman"/>
          <w:sz w:val="28"/>
          <w:szCs w:val="28"/>
          <w:lang w:val="vi-VN"/>
        </w:rPr>
        <w:t>(iii) C</w:t>
      </w:r>
      <w:r w:rsidR="00410F52" w:rsidRPr="00566B21">
        <w:rPr>
          <w:rFonts w:ascii="Times New Roman" w:hAnsi="Times New Roman" w:cs="Times New Roman"/>
          <w:sz w:val="28"/>
          <w:szCs w:val="28"/>
          <w:lang w:val="vi-VN"/>
        </w:rPr>
        <w:t>hỉ tiêu tín dụng dành cho lĩnh vực nông nghiệp và doanh nghiệp nhỏ sẽ được nâng thêm 500 tỷ Nhân dân tệ. Đối với lĩnh vực đổi mới và chuyển đổi công nghệ, ngân sách hỗ trợ sẽ tăng mạnh từ 800 tỷ Nhân dân tệ lên 1.200 tỷ Nhân dân tệ, đồng thời mở rộng phạm vi tiếp cận sang các doanh nghiệp tư nhân vừa và nhỏ có mức chi cho nghiên cứu và phát triển cao.</w:t>
      </w:r>
      <w:r w:rsidRPr="00566B21">
        <w:rPr>
          <w:rFonts w:ascii="Times New Roman" w:hAnsi="Times New Roman" w:cs="Times New Roman"/>
          <w:sz w:val="28"/>
          <w:szCs w:val="28"/>
          <w:lang w:val="vi-VN"/>
        </w:rPr>
        <w:t xml:space="preserve"> Đồng thời, </w:t>
      </w:r>
      <w:r w:rsidR="00410F52" w:rsidRPr="00566B21">
        <w:rPr>
          <w:rFonts w:ascii="Times New Roman" w:hAnsi="Times New Roman" w:cs="Times New Roman"/>
          <w:sz w:val="28"/>
          <w:szCs w:val="28"/>
          <w:lang w:val="vi-VN"/>
        </w:rPr>
        <w:t>hợp nhất các công cụ chia sẻ rủi ro trái phiếu dành cho doanh nghiệp tư nhân và doanh nghiệp công nghệ, qua đó cung cấp tổng nguồn hỗ trợ lên tới 200 tỷ Nhân dân tệ.</w:t>
      </w:r>
    </w:p>
    <w:p w14:paraId="195B822C" w14:textId="48E4B0C6" w:rsidR="00410F52" w:rsidRPr="00566B21" w:rsidRDefault="00187C6B" w:rsidP="00DD4289">
      <w:pPr>
        <w:spacing w:before="60" w:after="60" w:line="360" w:lineRule="exact"/>
        <w:ind w:firstLine="720"/>
        <w:jc w:val="both"/>
        <w:rPr>
          <w:rFonts w:ascii="Times New Roman" w:hAnsi="Times New Roman" w:cs="Times New Roman"/>
          <w:sz w:val="28"/>
          <w:szCs w:val="28"/>
          <w:lang w:val="vi-VN"/>
        </w:rPr>
      </w:pPr>
      <w:r w:rsidRPr="00566B21">
        <w:rPr>
          <w:rFonts w:ascii="Times New Roman" w:hAnsi="Times New Roman" w:cs="Times New Roman"/>
          <w:sz w:val="28"/>
          <w:szCs w:val="28"/>
          <w:lang w:val="vi-VN"/>
        </w:rPr>
        <w:t>(iv) H</w:t>
      </w:r>
      <w:r w:rsidR="00410F52" w:rsidRPr="00566B21">
        <w:rPr>
          <w:rFonts w:ascii="Times New Roman" w:hAnsi="Times New Roman" w:cs="Times New Roman"/>
          <w:sz w:val="28"/>
          <w:szCs w:val="28"/>
          <w:lang w:val="vi-VN"/>
        </w:rPr>
        <w:t>ạ tỷ lệ trả trước tối thiểu đối với các khoản vay mua bất động sản thương mại từ 50% xuố</w:t>
      </w:r>
      <w:r w:rsidRPr="00566B21">
        <w:rPr>
          <w:rFonts w:ascii="Times New Roman" w:hAnsi="Times New Roman" w:cs="Times New Roman"/>
          <w:sz w:val="28"/>
          <w:szCs w:val="28"/>
          <w:lang w:val="vi-VN"/>
        </w:rPr>
        <w:t>ng còn 30%</w:t>
      </w:r>
      <w:r w:rsidR="00410F52" w:rsidRPr="00566B21">
        <w:rPr>
          <w:rFonts w:ascii="Times New Roman" w:hAnsi="Times New Roman" w:cs="Times New Roman"/>
          <w:sz w:val="28"/>
          <w:szCs w:val="28"/>
          <w:lang w:val="vi-VN"/>
        </w:rPr>
        <w:t>.</w:t>
      </w:r>
    </w:p>
    <w:p w14:paraId="45905706" w14:textId="7A83BBB9" w:rsidR="00386CCF" w:rsidRPr="00566B21" w:rsidRDefault="006955EE" w:rsidP="00DD4289">
      <w:pPr>
        <w:spacing w:before="60" w:after="60" w:line="360" w:lineRule="exact"/>
        <w:ind w:firstLine="720"/>
        <w:jc w:val="both"/>
        <w:rPr>
          <w:rFonts w:ascii="Times New Roman" w:hAnsi="Times New Roman" w:cs="Times New Roman"/>
          <w:b/>
          <w:bCs/>
          <w:iCs/>
          <w:color w:val="000000" w:themeColor="text1"/>
          <w:sz w:val="28"/>
          <w:szCs w:val="28"/>
          <w:lang w:val="vi-VN"/>
        </w:rPr>
      </w:pPr>
      <w:r w:rsidRPr="00566B21">
        <w:rPr>
          <w:rFonts w:ascii="Times New Roman" w:hAnsi="Times New Roman" w:cs="Times New Roman"/>
          <w:b/>
          <w:bCs/>
          <w:iCs/>
          <w:color w:val="000000" w:themeColor="text1"/>
          <w:sz w:val="28"/>
          <w:szCs w:val="28"/>
          <w:lang w:val="vi-VN"/>
        </w:rPr>
        <w:t xml:space="preserve">4. </w:t>
      </w:r>
      <w:r w:rsidR="00386CCF" w:rsidRPr="00566B21">
        <w:rPr>
          <w:rFonts w:ascii="Times New Roman" w:hAnsi="Times New Roman" w:cs="Times New Roman"/>
          <w:b/>
          <w:bCs/>
          <w:iCs/>
          <w:color w:val="000000" w:themeColor="text1"/>
          <w:sz w:val="28"/>
          <w:szCs w:val="28"/>
          <w:lang w:val="vi-VN"/>
        </w:rPr>
        <w:t xml:space="preserve">Tăng cường thu thuế đối với người bán hàng trực tuyến </w:t>
      </w:r>
    </w:p>
    <w:p w14:paraId="4D675DA4" w14:textId="3F515F8E" w:rsidR="00386CCF" w:rsidRPr="00566B21" w:rsidRDefault="00386CCF"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566B21">
        <w:rPr>
          <w:rFonts w:ascii="Times New Roman" w:hAnsi="Times New Roman" w:cs="Times New Roman"/>
          <w:color w:val="000000" w:themeColor="text1"/>
          <w:sz w:val="28"/>
          <w:szCs w:val="28"/>
          <w:lang w:val="vi-VN"/>
        </w:rPr>
        <w:t xml:space="preserve">Trung Quốc đang đẩy mạnh thu thuế từ các nhà bán lẻ trực tuyến </w:t>
      </w:r>
      <w:r w:rsidRPr="00566B21">
        <w:rPr>
          <w:rFonts w:ascii="Times New Roman" w:eastAsia="Times New Roman" w:hAnsi="Times New Roman" w:cs="Times New Roman"/>
          <w:sz w:val="28"/>
          <w:szCs w:val="28"/>
          <w:lang w:val="vi-VN" w:eastAsia="zh-CN"/>
        </w:rPr>
        <w:t>như một phần của chiến dịch tăng cường quản lý, nhằm tăng nguồn thu ngân sách, trong bối cảnh tăng trưởng kinh tế chậm lại.</w:t>
      </w:r>
    </w:p>
    <w:p w14:paraId="11803BF7" w14:textId="77777777" w:rsidR="00386CCF" w:rsidRPr="00566B21" w:rsidRDefault="00386CCF"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566B21">
        <w:rPr>
          <w:rFonts w:ascii="Times New Roman" w:eastAsia="Times New Roman" w:hAnsi="Times New Roman" w:cs="Times New Roman"/>
          <w:sz w:val="28"/>
          <w:szCs w:val="28"/>
          <w:lang w:val="vi-VN" w:eastAsia="zh-CN"/>
        </w:rPr>
        <w:lastRenderedPageBreak/>
        <w:t xml:space="preserve">Theo các tài liệu do cơ quan thuế địa phương công bố, kể từ khi luật thuế mới có hiệu lực vào tháng 10/2025, các nền tảng thương mại điện tử hoạt động tại Trung Quốc, như Alibaba, Shein và Amazon đã buộc phải chia sẻ toàn bộ dữ liệu kinh doanh của người bán cho cơ quan thuế. </w:t>
      </w:r>
    </w:p>
    <w:p w14:paraId="7F892EF8" w14:textId="4B59BE29" w:rsidR="00386CCF" w:rsidRPr="00566B21" w:rsidRDefault="00386CCF"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566B21">
        <w:rPr>
          <w:rFonts w:ascii="Times New Roman" w:eastAsia="Times New Roman" w:hAnsi="Times New Roman" w:cs="Times New Roman"/>
          <w:sz w:val="28"/>
          <w:szCs w:val="28"/>
          <w:lang w:val="vi-VN" w:eastAsia="zh-CN"/>
        </w:rPr>
        <w:t>Tính đến cuối quý III/2025, hơn 7.000 nền tảng thương mại điện tử đã hoàn tất việc báo cáo thông tin liên quan đến thuế. Động thái này đã góp phần giúp nguồn thu thuế từ các nền tảng thương mại điện tử tăng 12,7% trong quý so với cùng kỳ năm trước.</w:t>
      </w:r>
    </w:p>
    <w:p w14:paraId="2A7212C5" w14:textId="77777777" w:rsidR="00386CCF" w:rsidRPr="00566B21" w:rsidRDefault="00386CCF"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566B21">
        <w:rPr>
          <w:rFonts w:ascii="Times New Roman" w:eastAsia="Times New Roman" w:hAnsi="Times New Roman" w:cs="Times New Roman"/>
          <w:sz w:val="28"/>
          <w:szCs w:val="28"/>
          <w:lang w:val="vi-VN" w:eastAsia="zh-CN"/>
        </w:rPr>
        <w:t>Trước đó, Tổng cục Thuế Trung Quốc đã nỗ lực triển khai nhiều biện pháp nhằm tăng cường thu ngân sách, bao gồm việc yêu cầu nhà đầu tư trong nước nộp thuế 20% đối với lợi nhuận vốn toàn cầu, cắt giảm ưu đãi tại các địa phương bị cho là góp phần gây ra tình trạng dư thừa năng lực sản xuất, đồng thời mở rộng chiến dịch truy quét hành vi gian lận hoàn thuế thông qua việc làm khống hóa đơn.</w:t>
      </w:r>
    </w:p>
    <w:p w14:paraId="3C94AB08" w14:textId="5CB58DCD" w:rsidR="00386CCF" w:rsidRPr="00566B21" w:rsidRDefault="00386CCF" w:rsidP="00DD4289">
      <w:pPr>
        <w:spacing w:before="60" w:after="60" w:line="360" w:lineRule="exact"/>
        <w:ind w:firstLine="720"/>
        <w:jc w:val="both"/>
        <w:rPr>
          <w:rFonts w:ascii="Times New Roman" w:eastAsia="Times New Roman" w:hAnsi="Times New Roman" w:cs="Times New Roman"/>
          <w:sz w:val="28"/>
          <w:szCs w:val="28"/>
          <w:lang w:val="vi-VN" w:eastAsia="zh-CN"/>
        </w:rPr>
      </w:pPr>
      <w:r w:rsidRPr="00566B21">
        <w:rPr>
          <w:rFonts w:ascii="Times New Roman" w:eastAsia="Times New Roman" w:hAnsi="Times New Roman" w:cs="Times New Roman"/>
          <w:sz w:val="28"/>
          <w:szCs w:val="28"/>
          <w:lang w:val="vi-VN" w:eastAsia="zh-CN"/>
        </w:rPr>
        <w:t>Các chuyên gia kinh tế nhận định quy định báo cáo thuế mới giúp thu hẹp khoảng cách, thúc đẩy cạnh tranh công bằng hơn, nhưng đồng thời cũng làm gia tăng chi phí tuân thủ và rủi ro an ninh dữ liệu. Đối với các doanh nghiệp có biên lợi nhuận thấp, m</w:t>
      </w:r>
      <w:r w:rsidR="006405AD">
        <w:rPr>
          <w:rFonts w:ascii="Times New Roman" w:eastAsia="Times New Roman" w:hAnsi="Times New Roman" w:cs="Times New Roman"/>
          <w:sz w:val="28"/>
          <w:szCs w:val="28"/>
          <w:lang w:val="vi-VN" w:eastAsia="zh-CN"/>
        </w:rPr>
        <w:t>ức thuế giá trị gia tăng 13%</w:t>
      </w:r>
      <w:r w:rsidR="006405AD" w:rsidRPr="006405AD">
        <w:rPr>
          <w:rFonts w:ascii="Times New Roman" w:eastAsia="Times New Roman" w:hAnsi="Times New Roman" w:cs="Times New Roman"/>
          <w:sz w:val="28"/>
          <w:szCs w:val="28"/>
          <w:lang w:val="vi-VN" w:eastAsia="zh-CN"/>
        </w:rPr>
        <w:t xml:space="preserve"> </w:t>
      </w:r>
      <w:r w:rsidRPr="00566B21">
        <w:rPr>
          <w:rFonts w:ascii="Times New Roman" w:eastAsia="Times New Roman" w:hAnsi="Times New Roman" w:cs="Times New Roman"/>
          <w:sz w:val="28"/>
          <w:szCs w:val="28"/>
          <w:lang w:val="vi-VN" w:eastAsia="zh-CN"/>
        </w:rPr>
        <w:t>áp dụng với các công ty có doanh</w:t>
      </w:r>
      <w:r w:rsidR="006405AD">
        <w:rPr>
          <w:rFonts w:ascii="Times New Roman" w:eastAsia="Times New Roman" w:hAnsi="Times New Roman" w:cs="Times New Roman"/>
          <w:sz w:val="28"/>
          <w:szCs w:val="28"/>
          <w:lang w:val="vi-VN" w:eastAsia="zh-CN"/>
        </w:rPr>
        <w:t xml:space="preserve"> thu vượt 5 triệu nhân dân tệ</w:t>
      </w:r>
      <w:r w:rsidR="006405AD" w:rsidRPr="006405AD">
        <w:rPr>
          <w:rFonts w:ascii="Times New Roman" w:eastAsia="Times New Roman" w:hAnsi="Times New Roman" w:cs="Times New Roman"/>
          <w:sz w:val="28"/>
          <w:szCs w:val="28"/>
          <w:lang w:val="vi-VN" w:eastAsia="zh-CN"/>
        </w:rPr>
        <w:t xml:space="preserve"> </w:t>
      </w:r>
      <w:r w:rsidRPr="00566B21">
        <w:rPr>
          <w:rFonts w:ascii="Times New Roman" w:eastAsia="Times New Roman" w:hAnsi="Times New Roman" w:cs="Times New Roman"/>
          <w:sz w:val="28"/>
          <w:szCs w:val="28"/>
          <w:lang w:val="vi-VN" w:eastAsia="zh-CN"/>
        </w:rPr>
        <w:t>có thể gây tác động nghiêm trọng.</w:t>
      </w:r>
    </w:p>
    <w:p w14:paraId="12DB958C" w14:textId="2AC59142" w:rsidR="00800473" w:rsidRPr="00566B21" w:rsidRDefault="006955EE" w:rsidP="00DD4289">
      <w:pPr>
        <w:spacing w:before="60" w:after="60" w:line="360" w:lineRule="exact"/>
        <w:ind w:firstLine="720"/>
        <w:jc w:val="both"/>
        <w:rPr>
          <w:rFonts w:ascii="Times New Roman" w:eastAsia="Times New Roman" w:hAnsi="Times New Roman" w:cs="Times New Roman"/>
          <w:b/>
          <w:sz w:val="28"/>
          <w:szCs w:val="28"/>
          <w:lang w:val="vi-VN" w:eastAsia="zh-CN"/>
        </w:rPr>
      </w:pPr>
      <w:r w:rsidRPr="00566B21">
        <w:rPr>
          <w:rFonts w:ascii="Times New Roman" w:eastAsia="Times New Roman" w:hAnsi="Times New Roman" w:cs="Times New Roman"/>
          <w:b/>
          <w:sz w:val="28"/>
          <w:szCs w:val="28"/>
          <w:lang w:val="vi-VN" w:eastAsia="zh-CN"/>
        </w:rPr>
        <w:t xml:space="preserve">5. </w:t>
      </w:r>
      <w:r w:rsidR="00386CCF" w:rsidRPr="00566B21">
        <w:rPr>
          <w:rFonts w:ascii="Times New Roman" w:eastAsia="Times New Roman" w:hAnsi="Times New Roman" w:cs="Times New Roman"/>
          <w:b/>
          <w:sz w:val="28"/>
          <w:szCs w:val="28"/>
          <w:lang w:val="vi-VN" w:eastAsia="zh-CN"/>
        </w:rPr>
        <w:t xml:space="preserve">Tăng </w:t>
      </w:r>
      <w:r w:rsidR="00800473" w:rsidRPr="00566B21">
        <w:rPr>
          <w:rFonts w:ascii="Times New Roman" w:eastAsia="Times New Roman" w:hAnsi="Times New Roman" w:cs="Times New Roman"/>
          <w:b/>
          <w:sz w:val="28"/>
          <w:szCs w:val="28"/>
          <w:lang w:val="vi-VN" w:eastAsia="zh-CN"/>
        </w:rPr>
        <w:t xml:space="preserve">cường tích hợp internet công nghiệp và trí tuệ nhân tạo </w:t>
      </w:r>
    </w:p>
    <w:p w14:paraId="70B47C19" w14:textId="73D12042" w:rsidR="006955EE" w:rsidRPr="00566B21" w:rsidRDefault="00800473" w:rsidP="00982610">
      <w:pPr>
        <w:spacing w:before="60" w:after="60" w:line="360" w:lineRule="exact"/>
        <w:ind w:firstLine="720"/>
        <w:jc w:val="both"/>
        <w:rPr>
          <w:rFonts w:ascii="Times New Roman" w:eastAsia="Times New Roman" w:hAnsi="Times New Roman" w:cs="Times New Roman"/>
          <w:sz w:val="28"/>
          <w:szCs w:val="28"/>
          <w:lang w:val="vi-VN" w:eastAsia="zh-CN"/>
        </w:rPr>
      </w:pPr>
      <w:r w:rsidRPr="00566B21">
        <w:rPr>
          <w:rFonts w:ascii="Times New Roman" w:eastAsia="Times New Roman" w:hAnsi="Times New Roman" w:cs="Times New Roman"/>
          <w:sz w:val="28"/>
          <w:szCs w:val="28"/>
          <w:lang w:val="vi-VN" w:eastAsia="zh-CN"/>
        </w:rPr>
        <w:t>Bộ Công nghiệp và Công nghệ Thông tin Trung Quốc đã ban hành Kế hoạch công tác nhằm tăng cường tích hợp internet công n</w:t>
      </w:r>
      <w:r w:rsidR="00386CCF" w:rsidRPr="00566B21">
        <w:rPr>
          <w:rFonts w:ascii="Times New Roman" w:eastAsia="Times New Roman" w:hAnsi="Times New Roman" w:cs="Times New Roman"/>
          <w:sz w:val="28"/>
          <w:szCs w:val="28"/>
          <w:lang w:val="vi-VN" w:eastAsia="zh-CN"/>
        </w:rPr>
        <w:t xml:space="preserve">ghiệp và trí tuệ nhân tạo (AI). </w:t>
      </w:r>
      <w:r w:rsidRPr="00566B21">
        <w:rPr>
          <w:rFonts w:ascii="Times New Roman" w:eastAsia="Times New Roman" w:hAnsi="Times New Roman" w:cs="Times New Roman"/>
          <w:sz w:val="28"/>
          <w:szCs w:val="28"/>
          <w:lang w:val="vi-VN" w:eastAsia="zh-CN"/>
        </w:rPr>
        <w:t>Theo</w:t>
      </w:r>
      <w:r w:rsidR="00982610" w:rsidRPr="00982610">
        <w:rPr>
          <w:rFonts w:ascii="Times New Roman" w:eastAsia="Times New Roman" w:hAnsi="Times New Roman" w:cs="Times New Roman"/>
          <w:sz w:val="28"/>
          <w:szCs w:val="28"/>
          <w:lang w:val="vi-VN" w:eastAsia="zh-CN"/>
        </w:rPr>
        <w:t xml:space="preserve"> đó</w:t>
      </w:r>
      <w:r w:rsidRPr="00566B21">
        <w:rPr>
          <w:rFonts w:ascii="Times New Roman" w:eastAsia="Times New Roman" w:hAnsi="Times New Roman" w:cs="Times New Roman"/>
          <w:sz w:val="28"/>
          <w:szCs w:val="28"/>
          <w:lang w:val="vi-VN" w:eastAsia="zh-CN"/>
        </w:rPr>
        <w:t xml:space="preserve">, đến năm 2028, mức độ tích hợp giữa internet công nghiệp và AI sẽ được cải thiện đáng kể, với việc nâng cấp mạng lưới công nghiệp kiểu mới được thực hiện tại 50.000 doanh nghiệp trở lên. Kế hoạch cũng kêu gọi phát triển một số bộ dữ liệu chất lượng cao trong 20 ngành công nghiệp trọng điểm và bồi dưỡng một nhóm các nhà cung cấp giải pháp thông minh để thúc đẩy việc tăng cường phối hợp giữa các doanh nghiệp lớn, vừa và nhỏ. </w:t>
      </w:r>
    </w:p>
    <w:p w14:paraId="7B9756EB" w14:textId="78625DC6" w:rsidR="00386CCF" w:rsidRPr="00DD4289" w:rsidRDefault="006955EE"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566B21">
        <w:rPr>
          <w:rFonts w:ascii="Times New Roman" w:eastAsia="DengXian Light" w:hAnsi="Times New Roman" w:cs="Times New Roman"/>
          <w:b/>
          <w:bCs/>
          <w:color w:val="0D0D0D"/>
          <w:kern w:val="2"/>
          <w:sz w:val="28"/>
          <w:szCs w:val="28"/>
          <w:lang w:val="vi-VN"/>
        </w:rPr>
        <w:t xml:space="preserve">6. </w:t>
      </w:r>
      <w:r w:rsidR="00386CCF" w:rsidRPr="00DD4289">
        <w:rPr>
          <w:rFonts w:ascii="Times New Roman" w:eastAsia="DengXian Light" w:hAnsi="Times New Roman" w:cs="Times New Roman"/>
          <w:b/>
          <w:bCs/>
          <w:color w:val="0D0D0D"/>
          <w:kern w:val="2"/>
          <w:sz w:val="28"/>
          <w:szCs w:val="28"/>
          <w:lang w:val="vi-VN"/>
        </w:rPr>
        <w:t xml:space="preserve">Điều lệ thi hành Luật Thuế giá trị gia tăng </w:t>
      </w:r>
    </w:p>
    <w:p w14:paraId="77EE5DAB" w14:textId="77777777" w:rsidR="00386CCF" w:rsidRPr="00DD4289" w:rsidRDefault="00386CCF" w:rsidP="00DD4289">
      <w:pPr>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Cs/>
          <w:sz w:val="28"/>
          <w:szCs w:val="28"/>
          <w:lang w:val="vi-VN"/>
        </w:rPr>
        <w:t xml:space="preserve">Điều lệ thi hành Luật Thuế giá trị gia tăng của nước Cộng hòa Nhân dân Trung Hoa (Điều lệ) đã được công bố và sẽ chính thức có hiệu lực từ ngày </w:t>
      </w:r>
      <w:r w:rsidRPr="00DD4289">
        <w:rPr>
          <w:rFonts w:ascii="Times New Roman" w:hAnsi="Times New Roman" w:cs="Times New Roman"/>
          <w:b/>
          <w:bCs/>
          <w:sz w:val="28"/>
          <w:szCs w:val="28"/>
          <w:lang w:val="vi-VN"/>
        </w:rPr>
        <w:t>01/01/2026</w:t>
      </w:r>
      <w:r w:rsidRPr="00DD4289">
        <w:rPr>
          <w:rFonts w:ascii="Times New Roman" w:hAnsi="Times New Roman" w:cs="Times New Roman"/>
          <w:bCs/>
          <w:sz w:val="28"/>
          <w:szCs w:val="28"/>
          <w:lang w:val="vi-VN"/>
        </w:rPr>
        <w:t>, nhằm quán triệt và triển khai Luật Thuế giá trị gia tăng của nước Cộng hòa Nhân dân Trung Hoa. Điều lệ gồm 6 chương, 54 điều, với các nội dung chính như sau:</w:t>
      </w:r>
    </w:p>
    <w:p w14:paraId="0E8C6355" w14:textId="77777777" w:rsidR="00386CCF" w:rsidRPr="00DD4289" w:rsidRDefault="00386CCF"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hAnsi="Times New Roman" w:cs="Times New Roman"/>
          <w:bCs/>
          <w:sz w:val="28"/>
          <w:szCs w:val="28"/>
          <w:lang w:val="vi-VN"/>
        </w:rPr>
        <w:t xml:space="preserve">(i) Cụ thể hóa đối tượng nộp thuế và phạm vi chịu thuế. Quy định chi tiết phạm vi các giao dịch chịu thuế giá trị gia tăng theo Luật Thuế Giá trị gia tăng, bao gồm hàng hóa, dịch vụ, tài sản vô hình và bất động sản; đồng thời làm rõ tiêu chí phân loại đơn vị và cá nhân trong nhóm người nộp thuế, tiêu chuẩn người nộp thuế thông thường và người nộp thuế quy mô nhỏ, cũng như các </w:t>
      </w:r>
      <w:r w:rsidRPr="00DD4289">
        <w:rPr>
          <w:rFonts w:ascii="Times New Roman" w:hAnsi="Times New Roman" w:cs="Times New Roman"/>
          <w:bCs/>
          <w:sz w:val="28"/>
          <w:szCs w:val="28"/>
          <w:lang w:val="vi-VN"/>
        </w:rPr>
        <w:lastRenderedPageBreak/>
        <w:t>trường hợp cụ thể được coi là tiêu dùng dịch vụ và tài sản vô hình trong lãnh thổ.</w:t>
      </w:r>
    </w:p>
    <w:p w14:paraId="3ACB713F" w14:textId="77777777" w:rsidR="00386CCF" w:rsidRPr="00DD4289" w:rsidRDefault="00386CCF"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(ii) </w:t>
      </w:r>
      <w:r w:rsidRPr="00DD4289">
        <w:rPr>
          <w:rFonts w:ascii="Times New Roman" w:hAnsi="Times New Roman" w:cs="Times New Roman"/>
          <w:bCs/>
          <w:sz w:val="28"/>
          <w:szCs w:val="28"/>
          <w:lang w:val="vi-VN"/>
        </w:rPr>
        <w:t>Làm rõ việc áp dụng thuế suất. Điều lệ tiếp tục xác định rõ phạm vi hàng hóa xuất khẩu áp dụng thuế suất 0%, cũng như các trường hợp cụ thể bán dịch vụ và tài sản vô hình xuyên biên giới được áp dụng thuế suất 0%; đồng thời xác định nguyên tắc áp dụng thuế suất và tỷ lệ thu thuế trong trường hợp một giao dịch chịu thuế liên quan đến từ hai mức thuế suất hoặc tỷ lệ thu trở lên.</w:t>
      </w:r>
    </w:p>
    <w:p w14:paraId="29C44EA9" w14:textId="77777777" w:rsidR="00386CCF" w:rsidRPr="00DD4289" w:rsidRDefault="00386CCF"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(iii) Xác </w:t>
      </w:r>
      <w:r w:rsidRPr="00DD4289">
        <w:rPr>
          <w:rFonts w:ascii="Times New Roman" w:hAnsi="Times New Roman" w:cs="Times New Roman"/>
          <w:bCs/>
          <w:sz w:val="28"/>
          <w:szCs w:val="28"/>
          <w:lang w:val="vi-VN"/>
        </w:rPr>
        <w:t>định phương pháp tính số thuế phải nộp trong các tình huống khác nhau. Đưa ra quy định cụ thể các loại chứng từ khấu trừ thuế giá trị gia tăng và phương thức khấu trừ thuế đầu vào; chi tiết hóa phương pháp cơ quan thuế ấn định doanh thu chịu thuế của người nộp thuế; đồng thời làm rõ quy tắc khấu trừ thuế đầu vào trong các trường hợp đặc thù.</w:t>
      </w:r>
    </w:p>
    <w:p w14:paraId="6B0A7BE3" w14:textId="77777777" w:rsidR="00386CCF" w:rsidRPr="00DD4289" w:rsidRDefault="00386CCF" w:rsidP="00DD4289">
      <w:pPr>
        <w:snapToGrid w:val="0"/>
        <w:spacing w:before="60" w:after="60" w:line="360" w:lineRule="exact"/>
        <w:ind w:firstLine="720"/>
        <w:jc w:val="both"/>
        <w:rPr>
          <w:rFonts w:ascii="Times New Roman" w:eastAsia="Times New Roman" w:hAnsi="Times New Roman" w:cs="Times New Roman"/>
          <w:sz w:val="28"/>
          <w:szCs w:val="28"/>
          <w:lang w:val="vi-VN"/>
        </w:rPr>
      </w:pPr>
      <w:r w:rsidRPr="00DD4289">
        <w:rPr>
          <w:rFonts w:ascii="Times New Roman" w:eastAsia="Times New Roman" w:hAnsi="Times New Roman" w:cs="Times New Roman"/>
          <w:sz w:val="28"/>
          <w:szCs w:val="28"/>
          <w:lang w:val="vi-VN"/>
        </w:rPr>
        <w:t xml:space="preserve">(iv) </w:t>
      </w:r>
      <w:r w:rsidRPr="00DD4289">
        <w:rPr>
          <w:rFonts w:ascii="Times New Roman" w:hAnsi="Times New Roman" w:cs="Times New Roman"/>
          <w:bCs/>
          <w:sz w:val="28"/>
          <w:szCs w:val="28"/>
          <w:lang w:val="vi-VN"/>
        </w:rPr>
        <w:t xml:space="preserve">Hoàn thiện chính sách ưu đãi thuế. Quy định rõ tiêu chuẩn cụ thể đối với các hạng mục được miễn thuế giá trị gia tăng theo Luật; đồng thời yêu cầu phạm vi, tiêu chuẩn và điều kiện áp dụng các chính sách ưu đãi thuế giá trị gia tăng phải được công khai kịp thời theo pháp luật. </w:t>
      </w:r>
    </w:p>
    <w:p w14:paraId="01D6C42B" w14:textId="77777777" w:rsidR="00B37A15" w:rsidRPr="00DD4289" w:rsidRDefault="00386CCF" w:rsidP="00DD4289">
      <w:pPr>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eastAsia="Times New Roman" w:hAnsi="Times New Roman" w:cs="Times New Roman"/>
          <w:sz w:val="28"/>
          <w:szCs w:val="28"/>
          <w:lang w:val="vi-VN"/>
        </w:rPr>
        <w:t xml:space="preserve">(v) Kiện </w:t>
      </w:r>
      <w:r w:rsidRPr="00DD4289">
        <w:rPr>
          <w:rFonts w:ascii="Times New Roman" w:hAnsi="Times New Roman" w:cs="Times New Roman"/>
          <w:bCs/>
          <w:sz w:val="28"/>
          <w:szCs w:val="28"/>
          <w:lang w:val="vi-VN"/>
        </w:rPr>
        <w:t>toàn các biện pháp quản lý và thu thuế. Điều lệ tiếp tục làm rõ nội dung đăng ký của người nộp thuế thông thường, yêu cầu lập hóa đơn thuế giá trị gia tăng chuyên dụng, thời điểm phát sinh nghĩa vụ thuế, các trường hợp áp dụng kê khai nộp thuế tổng hợp và nộp thuế tạm thu; đồng thời đưa ra quy định về hoàn (miễn) thuế xuất khẩu, chia sẻ thông tin liên quan đến thuế và các nội dung quản lý thuế khác.</w:t>
      </w:r>
    </w:p>
    <w:p w14:paraId="36DCDDF0" w14:textId="2BF1167A" w:rsidR="00812355" w:rsidRPr="00DD4289" w:rsidRDefault="006955EE" w:rsidP="00DD4289">
      <w:pPr>
        <w:snapToGrid w:val="0"/>
        <w:spacing w:before="60" w:after="60" w:line="360" w:lineRule="exact"/>
        <w:ind w:firstLine="720"/>
        <w:jc w:val="both"/>
        <w:rPr>
          <w:rFonts w:ascii="Times New Roman" w:hAnsi="Times New Roman" w:cs="Times New Roman"/>
          <w:bCs/>
          <w:sz w:val="28"/>
          <w:szCs w:val="28"/>
          <w:lang w:val="vi-VN"/>
        </w:rPr>
      </w:pPr>
      <w:r w:rsidRPr="00DD4289">
        <w:rPr>
          <w:rFonts w:ascii="Times New Roman" w:hAnsi="Times New Roman" w:cs="Times New Roman"/>
          <w:b/>
          <w:bCs/>
          <w:sz w:val="28"/>
          <w:szCs w:val="28"/>
          <w:lang w:val="vi-VN"/>
        </w:rPr>
        <w:t xml:space="preserve">7. </w:t>
      </w:r>
      <w:r w:rsidR="00812355" w:rsidRPr="00DD4289">
        <w:rPr>
          <w:rFonts w:ascii="Times New Roman" w:hAnsi="Times New Roman" w:cs="Times New Roman"/>
          <w:b/>
          <w:bCs/>
          <w:sz w:val="28"/>
          <w:szCs w:val="28"/>
          <w:lang w:val="vi-VN"/>
        </w:rPr>
        <w:t xml:space="preserve">Kế hoạch hành động về quản lý chất thải rắn </w:t>
      </w:r>
    </w:p>
    <w:p w14:paraId="0CF18EC0" w14:textId="6940384F" w:rsidR="000E2E86" w:rsidRPr="00DD4289" w:rsidRDefault="000E2E86"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 xml:space="preserve">Quốc vụ viện Trung Quốc đã ban hành </w:t>
      </w:r>
      <w:r w:rsidRPr="00DD4289">
        <w:rPr>
          <w:rFonts w:ascii="Times New Roman" w:eastAsia="Microsoft YaHei" w:hAnsi="Times New Roman" w:cs="Times New Roman"/>
          <w:bCs/>
          <w:color w:val="262626"/>
          <w:sz w:val="28"/>
          <w:szCs w:val="28"/>
          <w:lang w:val="vi-VN"/>
        </w:rPr>
        <w:t>“Kế hoạch hành động về quản lý tổng hợp chất thải rắn”</w:t>
      </w:r>
      <w:r w:rsidRPr="00DD4289">
        <w:rPr>
          <w:rFonts w:ascii="Times New Roman" w:eastAsia="Microsoft YaHei" w:hAnsi="Times New Roman" w:cs="Times New Roman"/>
          <w:color w:val="262626"/>
          <w:sz w:val="28"/>
          <w:szCs w:val="28"/>
          <w:lang w:val="vi-VN"/>
        </w:rPr>
        <w:t xml:space="preserve"> (</w:t>
      </w:r>
      <w:r w:rsidRPr="00DD4289">
        <w:rPr>
          <w:rFonts w:ascii="Times New Roman" w:eastAsia="Microsoft YaHei" w:hAnsi="Times New Roman" w:cs="Times New Roman"/>
          <w:bCs/>
          <w:color w:val="262626"/>
          <w:sz w:val="28"/>
          <w:szCs w:val="28"/>
          <w:lang w:val="vi-VN"/>
        </w:rPr>
        <w:t>Kế hoạch hành độ</w:t>
      </w:r>
      <w:r w:rsidR="00812355" w:rsidRPr="00DD4289">
        <w:rPr>
          <w:rFonts w:ascii="Times New Roman" w:eastAsia="Microsoft YaHei" w:hAnsi="Times New Roman" w:cs="Times New Roman"/>
          <w:bCs/>
          <w:color w:val="262626"/>
          <w:sz w:val="28"/>
          <w:szCs w:val="28"/>
          <w:lang w:val="vi-VN"/>
        </w:rPr>
        <w:t>ng</w:t>
      </w:r>
      <w:r w:rsidR="00812355" w:rsidRPr="00DD4289">
        <w:rPr>
          <w:rFonts w:ascii="Times New Roman" w:eastAsia="Microsoft YaHei" w:hAnsi="Times New Roman" w:cs="Times New Roman"/>
          <w:color w:val="262626"/>
          <w:sz w:val="28"/>
          <w:szCs w:val="28"/>
          <w:lang w:val="vi-VN"/>
        </w:rPr>
        <w:t xml:space="preserve">), với các nội dung chính sau: </w:t>
      </w:r>
    </w:p>
    <w:p w14:paraId="373A36AE" w14:textId="22124912" w:rsidR="00812355" w:rsidRPr="00DD4289" w:rsidRDefault="00676DCF" w:rsidP="00DD4289">
      <w:pPr>
        <w:spacing w:before="60" w:after="60" w:line="360" w:lineRule="exact"/>
        <w:ind w:firstLine="720"/>
        <w:jc w:val="both"/>
        <w:rPr>
          <w:rFonts w:ascii="Times New Roman" w:eastAsia="Microsoft YaHei" w:hAnsi="Times New Roman" w:cs="Times New Roman"/>
          <w:color w:val="262626"/>
          <w:sz w:val="28"/>
          <w:szCs w:val="28"/>
          <w:lang w:val="vi-VN"/>
        </w:rPr>
      </w:pPr>
      <w:r>
        <w:rPr>
          <w:rFonts w:ascii="Times New Roman" w:eastAsia="Microsoft YaHei" w:hAnsi="Times New Roman" w:cs="Times New Roman"/>
          <w:color w:val="262626"/>
          <w:sz w:val="28"/>
          <w:szCs w:val="28"/>
          <w:lang w:val="vi-VN"/>
        </w:rPr>
        <w:t xml:space="preserve">(i) </w:t>
      </w:r>
      <w:r w:rsidRPr="00CC05EE">
        <w:rPr>
          <w:rFonts w:ascii="Times New Roman" w:eastAsia="Microsoft YaHei" w:hAnsi="Times New Roman" w:cs="Times New Roman"/>
          <w:color w:val="262626"/>
          <w:sz w:val="28"/>
          <w:szCs w:val="28"/>
          <w:lang w:val="vi-VN"/>
        </w:rPr>
        <w:t>Đ</w:t>
      </w:r>
      <w:r w:rsidR="000E2E86" w:rsidRPr="00DD4289">
        <w:rPr>
          <w:rFonts w:ascii="Times New Roman" w:eastAsia="Microsoft YaHei" w:hAnsi="Times New Roman" w:cs="Times New Roman"/>
          <w:color w:val="262626"/>
          <w:sz w:val="28"/>
          <w:szCs w:val="28"/>
          <w:lang w:val="vi-VN"/>
        </w:rPr>
        <w:t xml:space="preserve">ến năm 2030, công tác chỉnh đốn chuyên đề chất thải rắn trong các lĩnh vực trọng điểm đạt hiệu quả rõ rệt; lượng chất thải rắn tồn đọng lịch sử được kiểm soát hiệu quả; tình trạng đổ thải, xử lý trái phép với tần suất cao được kiềm chế; khối lượng sử dụng tổng hợp hằng năm đối với chất thải rắn đạt </w:t>
      </w:r>
      <w:r w:rsidR="000E2E86" w:rsidRPr="00DD4289">
        <w:rPr>
          <w:rFonts w:ascii="Times New Roman" w:eastAsia="Microsoft YaHei" w:hAnsi="Times New Roman" w:cs="Times New Roman"/>
          <w:bCs/>
          <w:color w:val="262626"/>
          <w:sz w:val="28"/>
          <w:szCs w:val="28"/>
          <w:lang w:val="vi-VN"/>
        </w:rPr>
        <w:t>4,5 tỷ tấn</w:t>
      </w:r>
      <w:r w:rsidR="000E2E86" w:rsidRPr="00DD4289">
        <w:rPr>
          <w:rFonts w:ascii="Times New Roman" w:eastAsia="Microsoft YaHei" w:hAnsi="Times New Roman" w:cs="Times New Roman"/>
          <w:color w:val="262626"/>
          <w:sz w:val="28"/>
          <w:szCs w:val="28"/>
          <w:lang w:val="vi-VN"/>
        </w:rPr>
        <w:t xml:space="preserve">; khối lượng tuần hoàn, tái sử dụng hằng năm của các nguồn tài nguyên tái chế chủ yếu đạt </w:t>
      </w:r>
      <w:r w:rsidR="000E2E86" w:rsidRPr="00DD4289">
        <w:rPr>
          <w:rFonts w:ascii="Times New Roman" w:eastAsia="Microsoft YaHei" w:hAnsi="Times New Roman" w:cs="Times New Roman"/>
          <w:bCs/>
          <w:color w:val="262626"/>
          <w:sz w:val="28"/>
          <w:szCs w:val="28"/>
          <w:lang w:val="vi-VN"/>
        </w:rPr>
        <w:t>510 triệu tấn</w:t>
      </w:r>
      <w:r w:rsidR="000E2E86" w:rsidRPr="00DD4289">
        <w:rPr>
          <w:rFonts w:ascii="Times New Roman" w:eastAsia="Microsoft YaHei" w:hAnsi="Times New Roman" w:cs="Times New Roman"/>
          <w:color w:val="262626"/>
          <w:sz w:val="28"/>
          <w:szCs w:val="28"/>
          <w:lang w:val="vi-VN"/>
        </w:rPr>
        <w:t>; năng lực và trình độ quản lý tổng hợp chất thải rắn được nâng lên rõ rệt.</w:t>
      </w:r>
    </w:p>
    <w:p w14:paraId="14670EA1" w14:textId="77777777" w:rsidR="0080703F" w:rsidRPr="00DD4289" w:rsidRDefault="00812355"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(ii) T</w:t>
      </w:r>
      <w:r w:rsidR="000E2E86" w:rsidRPr="00DD4289">
        <w:rPr>
          <w:rFonts w:ascii="Times New Roman" w:eastAsia="Microsoft YaHei" w:hAnsi="Times New Roman" w:cs="Times New Roman"/>
          <w:color w:val="262626"/>
          <w:sz w:val="28"/>
          <w:szCs w:val="28"/>
          <w:lang w:val="vi-VN"/>
        </w:rPr>
        <w:t>ập trung vào các lĩnh vực phát sinh chất thải chính như công nghiệp, đô thị, nông lâm nghiệp; thúc đẩy kiểm soát từ nguồn và giảm phát sinh; chuẩn hóa công tác thu gom, vận chuyển và lưu trữ; nâng cao mức độ sử dụng tài nguyên; tăng cường năng lực xử lý vô hại; triển khai các đợt chỉnh đốn trong những lĩnh vực trọng điểm</w:t>
      </w:r>
      <w:r w:rsidR="0080703F" w:rsidRPr="00DD4289">
        <w:rPr>
          <w:rFonts w:ascii="Times New Roman" w:eastAsia="Microsoft YaHei" w:hAnsi="Times New Roman" w:cs="Times New Roman"/>
          <w:color w:val="262626"/>
          <w:sz w:val="28"/>
          <w:szCs w:val="28"/>
          <w:lang w:val="vi-VN"/>
        </w:rPr>
        <w:t xml:space="preserve">. </w:t>
      </w:r>
    </w:p>
    <w:p w14:paraId="1963100D" w14:textId="79CB89EB" w:rsidR="000E2E86" w:rsidRPr="00566B21" w:rsidRDefault="0080703F"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lastRenderedPageBreak/>
        <w:t xml:space="preserve">(iii) Yêu </w:t>
      </w:r>
      <w:r w:rsidR="000E2E86" w:rsidRPr="00DD4289">
        <w:rPr>
          <w:rFonts w:ascii="Times New Roman" w:eastAsia="Microsoft YaHei" w:hAnsi="Times New Roman" w:cs="Times New Roman"/>
          <w:color w:val="262626"/>
          <w:sz w:val="28"/>
          <w:szCs w:val="28"/>
          <w:lang w:val="vi-VN"/>
        </w:rPr>
        <w:t xml:space="preserve">cầu các địa phương và các bộ, ngành liên quan, dưới sự lãnh đạo tập trung, thống nhất của Trung ương Đảng, căn cứ tình hình thực tế để tổ chức triển khai nghiêm túc. </w:t>
      </w:r>
    </w:p>
    <w:p w14:paraId="05544DDB" w14:textId="5AF817FE" w:rsidR="002601A5" w:rsidRPr="00566B21" w:rsidRDefault="006955EE" w:rsidP="00DD4289">
      <w:pPr>
        <w:spacing w:before="60" w:after="60" w:line="360" w:lineRule="exact"/>
        <w:ind w:firstLine="720"/>
        <w:jc w:val="both"/>
        <w:rPr>
          <w:rFonts w:ascii="Times New Roman" w:eastAsia="Microsoft YaHei" w:hAnsi="Times New Roman" w:cs="Times New Roman"/>
          <w:b/>
          <w:color w:val="262626"/>
          <w:sz w:val="28"/>
          <w:szCs w:val="28"/>
          <w:lang w:val="vi-VN"/>
        </w:rPr>
      </w:pPr>
      <w:r w:rsidRPr="00566B21">
        <w:rPr>
          <w:rFonts w:ascii="Times New Roman" w:eastAsia="Microsoft YaHei" w:hAnsi="Times New Roman" w:cs="Times New Roman"/>
          <w:b/>
          <w:color w:val="262626"/>
          <w:sz w:val="28"/>
          <w:szCs w:val="28"/>
          <w:lang w:val="vi-VN"/>
        </w:rPr>
        <w:t xml:space="preserve">8. </w:t>
      </w:r>
      <w:r w:rsidR="002601A5" w:rsidRPr="00DD4289">
        <w:rPr>
          <w:rFonts w:ascii="Times New Roman" w:eastAsia="Microsoft YaHei" w:hAnsi="Times New Roman" w:cs="Times New Roman"/>
          <w:b/>
          <w:color w:val="262626"/>
          <w:sz w:val="28"/>
          <w:szCs w:val="28"/>
          <w:lang w:val="vi-VN"/>
        </w:rPr>
        <w:t xml:space="preserve">Bắc Kinh đẩy nhanh </w:t>
      </w:r>
      <w:r w:rsidR="00BF1718" w:rsidRPr="00DD4289">
        <w:rPr>
          <w:rFonts w:ascii="Times New Roman" w:eastAsia="Microsoft YaHei" w:hAnsi="Times New Roman" w:cs="Times New Roman"/>
          <w:b/>
          <w:color w:val="262626"/>
          <w:sz w:val="28"/>
          <w:szCs w:val="28"/>
          <w:lang w:val="vi-VN"/>
        </w:rPr>
        <w:t>xây dựng trung tâm đổi mới trí tuệ nhân tạo toàn cầu</w:t>
      </w:r>
    </w:p>
    <w:p w14:paraId="5E119144" w14:textId="41975123" w:rsidR="00BF1718" w:rsidRPr="00D67146" w:rsidRDefault="00BF1718"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 xml:space="preserve">Tại Hội nghị Thúc đẩy Xây dựng Trung tâm Đổi mới Trí tuệ nhân tạo Bắc Kinh năm 2026 được tổ chức vào </w:t>
      </w:r>
      <w:r w:rsidR="002601A5" w:rsidRPr="00D67146">
        <w:rPr>
          <w:rFonts w:ascii="Times New Roman" w:eastAsia="Microsoft YaHei" w:hAnsi="Times New Roman" w:cs="Times New Roman"/>
          <w:color w:val="262626"/>
          <w:sz w:val="28"/>
          <w:szCs w:val="28"/>
          <w:lang w:val="vi-VN"/>
        </w:rPr>
        <w:t xml:space="preserve">ngày 05/01/2026, thành phố </w:t>
      </w:r>
      <w:r w:rsidRPr="00DD4289">
        <w:rPr>
          <w:rFonts w:ascii="Times New Roman" w:eastAsia="Microsoft YaHei" w:hAnsi="Times New Roman" w:cs="Times New Roman"/>
          <w:color w:val="262626"/>
          <w:sz w:val="28"/>
          <w:szCs w:val="28"/>
          <w:lang w:val="vi-VN"/>
        </w:rPr>
        <w:t>Bắc Kinh đã công bố chín hành động chính</w:t>
      </w:r>
      <w:r w:rsidR="002601A5" w:rsidRPr="00D67146">
        <w:rPr>
          <w:rFonts w:ascii="Times New Roman" w:eastAsia="Microsoft YaHei" w:hAnsi="Times New Roman" w:cs="Times New Roman"/>
          <w:color w:val="262626"/>
          <w:sz w:val="28"/>
          <w:szCs w:val="28"/>
          <w:lang w:val="vi-VN"/>
        </w:rPr>
        <w:t xml:space="preserve"> </w:t>
      </w:r>
      <w:r w:rsidR="002601A5" w:rsidRPr="00DD4289">
        <w:rPr>
          <w:rFonts w:ascii="Times New Roman" w:eastAsia="Microsoft YaHei" w:hAnsi="Times New Roman" w:cs="Times New Roman"/>
          <w:color w:val="262626"/>
          <w:sz w:val="28"/>
          <w:szCs w:val="28"/>
          <w:lang w:val="vi-VN"/>
        </w:rPr>
        <w:t>nhằm đẩy nhanh việc xây dựng một trung tâm đổi mới trí tuệ nhân tạo toàn cầu</w:t>
      </w:r>
      <w:r w:rsidR="002601A5" w:rsidRPr="00D67146">
        <w:rPr>
          <w:rFonts w:ascii="Times New Roman" w:eastAsia="Microsoft YaHei" w:hAnsi="Times New Roman" w:cs="Times New Roman"/>
          <w:color w:val="262626"/>
          <w:sz w:val="28"/>
          <w:szCs w:val="28"/>
          <w:lang w:val="vi-VN"/>
        </w:rPr>
        <w:t>, gồm</w:t>
      </w:r>
      <w:r w:rsidRPr="00DD4289">
        <w:rPr>
          <w:rFonts w:ascii="Times New Roman" w:eastAsia="Microsoft YaHei" w:hAnsi="Times New Roman" w:cs="Times New Roman"/>
          <w:color w:val="262626"/>
          <w:sz w:val="28"/>
          <w:szCs w:val="28"/>
          <w:lang w:val="vi-VN"/>
        </w:rPr>
        <w:t xml:space="preserve">: </w:t>
      </w:r>
      <w:r w:rsidR="002601A5" w:rsidRPr="00D67146">
        <w:rPr>
          <w:rFonts w:ascii="Times New Roman" w:eastAsia="Microsoft YaHei" w:hAnsi="Times New Roman" w:cs="Times New Roman"/>
          <w:color w:val="262626"/>
          <w:sz w:val="28"/>
          <w:szCs w:val="28"/>
          <w:lang w:val="vi-VN"/>
        </w:rPr>
        <w:t xml:space="preserve">(i) </w:t>
      </w:r>
      <w:r w:rsidRPr="00DD4289">
        <w:rPr>
          <w:rFonts w:ascii="Times New Roman" w:eastAsia="Microsoft YaHei" w:hAnsi="Times New Roman" w:cs="Times New Roman"/>
          <w:color w:val="262626"/>
          <w:sz w:val="28"/>
          <w:szCs w:val="28"/>
          <w:lang w:val="vi-VN"/>
        </w:rPr>
        <w:t>Hành động Nguồn Đổi mới Công nghệ</w:t>
      </w:r>
      <w:r w:rsidR="002601A5" w:rsidRPr="00D67146">
        <w:rPr>
          <w:rFonts w:ascii="Times New Roman" w:eastAsia="Microsoft YaHei" w:hAnsi="Times New Roman" w:cs="Times New Roman"/>
          <w:color w:val="262626"/>
          <w:sz w:val="28"/>
          <w:szCs w:val="28"/>
          <w:lang w:val="vi-VN"/>
        </w:rPr>
        <w:t xml:space="preserve">; (ii) </w:t>
      </w:r>
      <w:r w:rsidRPr="00DD4289">
        <w:rPr>
          <w:rFonts w:ascii="Times New Roman" w:eastAsia="Microsoft YaHei" w:hAnsi="Times New Roman" w:cs="Times New Roman"/>
          <w:color w:val="262626"/>
          <w:sz w:val="28"/>
          <w:szCs w:val="28"/>
          <w:lang w:val="vi-VN"/>
        </w:rPr>
        <w:t>Hành động Tăng cường Hệ sinh thái Điện toán Thông minh độc lậ</w:t>
      </w:r>
      <w:r w:rsidR="002601A5" w:rsidRPr="00DD4289">
        <w:rPr>
          <w:rFonts w:ascii="Times New Roman" w:eastAsia="Microsoft YaHei" w:hAnsi="Times New Roman" w:cs="Times New Roman"/>
          <w:color w:val="262626"/>
          <w:sz w:val="28"/>
          <w:szCs w:val="28"/>
          <w:lang w:val="vi-VN"/>
        </w:rPr>
        <w:t>p</w:t>
      </w:r>
      <w:r w:rsidR="002601A5" w:rsidRPr="00D67146">
        <w:rPr>
          <w:rFonts w:ascii="Times New Roman" w:eastAsia="Microsoft YaHei" w:hAnsi="Times New Roman" w:cs="Times New Roman"/>
          <w:color w:val="262626"/>
          <w:sz w:val="28"/>
          <w:szCs w:val="28"/>
          <w:lang w:val="vi-VN"/>
        </w:rPr>
        <w:t xml:space="preserve">; (iii) </w:t>
      </w:r>
      <w:r w:rsidRPr="00DD4289">
        <w:rPr>
          <w:rFonts w:ascii="Times New Roman" w:eastAsia="Microsoft YaHei" w:hAnsi="Times New Roman" w:cs="Times New Roman"/>
          <w:color w:val="262626"/>
          <w:sz w:val="28"/>
          <w:szCs w:val="28"/>
          <w:lang w:val="vi-VN"/>
        </w:rPr>
        <w:t>Hành động Thu thập Năng lượng Dữ liệu chất lượng c</w:t>
      </w:r>
      <w:r w:rsidR="002601A5" w:rsidRPr="00DD4289">
        <w:rPr>
          <w:rFonts w:ascii="Times New Roman" w:eastAsia="Microsoft YaHei" w:hAnsi="Times New Roman" w:cs="Times New Roman"/>
          <w:color w:val="262626"/>
          <w:sz w:val="28"/>
          <w:szCs w:val="28"/>
          <w:lang w:val="vi-VN"/>
        </w:rPr>
        <w:t>ao</w:t>
      </w:r>
      <w:r w:rsidR="002601A5" w:rsidRPr="00D67146">
        <w:rPr>
          <w:rFonts w:ascii="Times New Roman" w:eastAsia="Microsoft YaHei" w:hAnsi="Times New Roman" w:cs="Times New Roman"/>
          <w:color w:val="262626"/>
          <w:sz w:val="28"/>
          <w:szCs w:val="28"/>
          <w:lang w:val="vi-VN"/>
        </w:rPr>
        <w:t xml:space="preserve">; (iv) </w:t>
      </w:r>
      <w:r w:rsidRPr="00DD4289">
        <w:rPr>
          <w:rFonts w:ascii="Times New Roman" w:eastAsia="Microsoft YaHei" w:hAnsi="Times New Roman" w:cs="Times New Roman"/>
          <w:color w:val="262626"/>
          <w:sz w:val="28"/>
          <w:szCs w:val="28"/>
          <w:lang w:val="vi-VN"/>
        </w:rPr>
        <w:t>Hành động Tăng cường ứng dụng toàn diệ</w:t>
      </w:r>
      <w:r w:rsidR="002601A5" w:rsidRPr="00DD4289">
        <w:rPr>
          <w:rFonts w:ascii="Times New Roman" w:eastAsia="Microsoft YaHei" w:hAnsi="Times New Roman" w:cs="Times New Roman"/>
          <w:color w:val="262626"/>
          <w:sz w:val="28"/>
          <w:szCs w:val="28"/>
          <w:lang w:val="vi-VN"/>
        </w:rPr>
        <w:t>n</w:t>
      </w:r>
      <w:r w:rsidR="002601A5" w:rsidRPr="00D67146">
        <w:rPr>
          <w:rFonts w:ascii="Times New Roman" w:eastAsia="Microsoft YaHei" w:hAnsi="Times New Roman" w:cs="Times New Roman"/>
          <w:color w:val="262626"/>
          <w:sz w:val="28"/>
          <w:szCs w:val="28"/>
          <w:lang w:val="vi-VN"/>
        </w:rPr>
        <w:t xml:space="preserve">; (v) </w:t>
      </w:r>
      <w:r w:rsidRPr="00DD4289">
        <w:rPr>
          <w:rFonts w:ascii="Times New Roman" w:eastAsia="Microsoft YaHei" w:hAnsi="Times New Roman" w:cs="Times New Roman"/>
          <w:color w:val="262626"/>
          <w:sz w:val="28"/>
          <w:szCs w:val="28"/>
          <w:lang w:val="vi-VN"/>
        </w:rPr>
        <w:t>Hành động Cách mạng Mô hình khoa học t</w:t>
      </w:r>
      <w:r w:rsidR="002601A5" w:rsidRPr="00DD4289">
        <w:rPr>
          <w:rFonts w:ascii="Times New Roman" w:eastAsia="Microsoft YaHei" w:hAnsi="Times New Roman" w:cs="Times New Roman"/>
          <w:color w:val="262626"/>
          <w:sz w:val="28"/>
          <w:szCs w:val="28"/>
          <w:lang w:val="vi-VN"/>
        </w:rPr>
        <w:t>hông minh</w:t>
      </w:r>
      <w:r w:rsidR="002601A5" w:rsidRPr="00D67146">
        <w:rPr>
          <w:rFonts w:ascii="Times New Roman" w:eastAsia="Microsoft YaHei" w:hAnsi="Times New Roman" w:cs="Times New Roman"/>
          <w:color w:val="262626"/>
          <w:sz w:val="28"/>
          <w:szCs w:val="28"/>
          <w:lang w:val="vi-VN"/>
        </w:rPr>
        <w:t xml:space="preserve">; (vi) </w:t>
      </w:r>
      <w:r w:rsidRPr="00DD4289">
        <w:rPr>
          <w:rFonts w:ascii="Times New Roman" w:eastAsia="Microsoft YaHei" w:hAnsi="Times New Roman" w:cs="Times New Roman"/>
          <w:color w:val="262626"/>
          <w:sz w:val="28"/>
          <w:szCs w:val="28"/>
          <w:lang w:val="vi-VN"/>
        </w:rPr>
        <w:t>Hành động Bước nhảy vọt toàn chuỗi Trí tuệ hiệ</w:t>
      </w:r>
      <w:r w:rsidR="002601A5" w:rsidRPr="00DD4289">
        <w:rPr>
          <w:rFonts w:ascii="Times New Roman" w:eastAsia="Microsoft YaHei" w:hAnsi="Times New Roman" w:cs="Times New Roman"/>
          <w:color w:val="262626"/>
          <w:sz w:val="28"/>
          <w:szCs w:val="28"/>
          <w:lang w:val="vi-VN"/>
        </w:rPr>
        <w:t>n thân</w:t>
      </w:r>
      <w:r w:rsidR="002601A5" w:rsidRPr="00D67146">
        <w:rPr>
          <w:rFonts w:ascii="Times New Roman" w:eastAsia="Microsoft YaHei" w:hAnsi="Times New Roman" w:cs="Times New Roman"/>
          <w:color w:val="262626"/>
          <w:sz w:val="28"/>
          <w:szCs w:val="28"/>
          <w:lang w:val="vi-VN"/>
        </w:rPr>
        <w:t xml:space="preserve">; (vii) </w:t>
      </w:r>
      <w:r w:rsidRPr="00DD4289">
        <w:rPr>
          <w:rFonts w:ascii="Times New Roman" w:eastAsia="Microsoft YaHei" w:hAnsi="Times New Roman" w:cs="Times New Roman"/>
          <w:color w:val="262626"/>
          <w:sz w:val="28"/>
          <w:szCs w:val="28"/>
          <w:lang w:val="vi-VN"/>
        </w:rPr>
        <w:t>Hành động Dẫn đầu Hệ sinh thái Đổi mớ</w:t>
      </w:r>
      <w:r w:rsidR="00937576" w:rsidRPr="00DD4289">
        <w:rPr>
          <w:rFonts w:ascii="Times New Roman" w:eastAsia="Microsoft YaHei" w:hAnsi="Times New Roman" w:cs="Times New Roman"/>
          <w:color w:val="262626"/>
          <w:sz w:val="28"/>
          <w:szCs w:val="28"/>
          <w:lang w:val="vi-VN"/>
        </w:rPr>
        <w:t>i</w:t>
      </w:r>
      <w:r w:rsidR="00937576" w:rsidRPr="00D67146">
        <w:rPr>
          <w:rFonts w:ascii="Times New Roman" w:eastAsia="Microsoft YaHei" w:hAnsi="Times New Roman" w:cs="Times New Roman"/>
          <w:color w:val="262626"/>
          <w:sz w:val="28"/>
          <w:szCs w:val="28"/>
          <w:lang w:val="vi-VN"/>
        </w:rPr>
        <w:t xml:space="preserve">; (viii) </w:t>
      </w:r>
      <w:r w:rsidRPr="00DD4289">
        <w:rPr>
          <w:rFonts w:ascii="Times New Roman" w:eastAsia="Microsoft YaHei" w:hAnsi="Times New Roman" w:cs="Times New Roman"/>
          <w:color w:val="262626"/>
          <w:sz w:val="28"/>
          <w:szCs w:val="28"/>
          <w:lang w:val="vi-VN"/>
        </w:rPr>
        <w:t>Hành động Thu thập Mã nguồn Mở và Tính Mở</w:t>
      </w:r>
      <w:r w:rsidR="00937576" w:rsidRPr="00D67146">
        <w:rPr>
          <w:rFonts w:ascii="Times New Roman" w:eastAsia="Microsoft YaHei" w:hAnsi="Times New Roman" w:cs="Times New Roman"/>
          <w:color w:val="262626"/>
          <w:sz w:val="28"/>
          <w:szCs w:val="28"/>
          <w:lang w:val="vi-VN"/>
        </w:rPr>
        <w:t xml:space="preserve">; (ix) </w:t>
      </w:r>
      <w:r w:rsidRPr="00DD4289">
        <w:rPr>
          <w:rFonts w:ascii="Times New Roman" w:eastAsia="Microsoft YaHei" w:hAnsi="Times New Roman" w:cs="Times New Roman"/>
          <w:color w:val="262626"/>
          <w:sz w:val="28"/>
          <w:szCs w:val="28"/>
          <w:lang w:val="vi-VN"/>
        </w:rPr>
        <w:t>Hành động Bảo vệ Quản trị An ninh.</w:t>
      </w:r>
    </w:p>
    <w:p w14:paraId="6B6CD0D0" w14:textId="77777777" w:rsidR="000C539D" w:rsidRPr="00D67146" w:rsidRDefault="000C539D"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Trong khoảng hai năm tới, Bắc Kinh sẽ xây dựng một cụm điện toán thông minh với quy mô 100.000 card, bổ sung hơn 100 PB (petaflops) dữ liệu chất lượng cao và triển khai hơn 100 ứng dụng trí tuệ nhân tạo.</w:t>
      </w:r>
    </w:p>
    <w:p w14:paraId="20AA7CA2" w14:textId="7ABD44A9" w:rsidR="000C539D" w:rsidRPr="00D67146" w:rsidRDefault="006955EE" w:rsidP="00DD4289">
      <w:pPr>
        <w:spacing w:before="60" w:after="60" w:line="360" w:lineRule="exact"/>
        <w:ind w:firstLine="720"/>
        <w:jc w:val="both"/>
        <w:rPr>
          <w:rFonts w:ascii="Times New Roman" w:eastAsia="Microsoft YaHei" w:hAnsi="Times New Roman" w:cs="Times New Roman"/>
          <w:b/>
          <w:color w:val="262626"/>
          <w:sz w:val="28"/>
          <w:szCs w:val="28"/>
          <w:lang w:val="vi-VN"/>
        </w:rPr>
      </w:pPr>
      <w:r w:rsidRPr="00D67146">
        <w:rPr>
          <w:rFonts w:ascii="Times New Roman" w:eastAsia="Microsoft YaHei" w:hAnsi="Times New Roman" w:cs="Times New Roman"/>
          <w:b/>
          <w:color w:val="262626"/>
          <w:sz w:val="28"/>
          <w:szCs w:val="28"/>
          <w:lang w:val="vi-VN"/>
        </w:rPr>
        <w:t xml:space="preserve">9. </w:t>
      </w:r>
      <w:r w:rsidR="000C539D" w:rsidRPr="00D67146">
        <w:rPr>
          <w:rFonts w:ascii="Times New Roman" w:eastAsia="Microsoft YaHei" w:hAnsi="Times New Roman" w:cs="Times New Roman"/>
          <w:b/>
          <w:color w:val="262626"/>
          <w:sz w:val="28"/>
          <w:szCs w:val="28"/>
          <w:lang w:val="vi-VN"/>
        </w:rPr>
        <w:t xml:space="preserve">Ban hành Quy định về hòa giải thương mại </w:t>
      </w:r>
    </w:p>
    <w:p w14:paraId="6A515A8C" w14:textId="77777777" w:rsidR="00BD1681" w:rsidRPr="00D67146" w:rsidRDefault="009A0C48"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 xml:space="preserve">Thủ tướng </w:t>
      </w:r>
      <w:r w:rsidR="00EC1BE6" w:rsidRPr="00D67146">
        <w:rPr>
          <w:rFonts w:ascii="Times New Roman" w:eastAsia="Microsoft YaHei" w:hAnsi="Times New Roman" w:cs="Times New Roman"/>
          <w:color w:val="262626"/>
          <w:sz w:val="28"/>
          <w:szCs w:val="28"/>
          <w:lang w:val="vi-VN"/>
        </w:rPr>
        <w:t xml:space="preserve">Trung Quốc </w:t>
      </w:r>
      <w:r w:rsidRPr="00DD4289">
        <w:rPr>
          <w:rFonts w:ascii="Times New Roman" w:eastAsia="Microsoft YaHei" w:hAnsi="Times New Roman" w:cs="Times New Roman"/>
          <w:color w:val="262626"/>
          <w:sz w:val="28"/>
          <w:szCs w:val="28"/>
          <w:lang w:val="vi-VN"/>
        </w:rPr>
        <w:t>Lý Cường đã ký sắc lệnh của Quốc vụ viện</w:t>
      </w:r>
      <w:r w:rsidR="00EC1BE6" w:rsidRPr="00D67146">
        <w:rPr>
          <w:rFonts w:ascii="Times New Roman" w:eastAsia="Microsoft YaHei" w:hAnsi="Times New Roman" w:cs="Times New Roman"/>
          <w:color w:val="262626"/>
          <w:sz w:val="28"/>
          <w:szCs w:val="28"/>
          <w:lang w:val="vi-VN"/>
        </w:rPr>
        <w:t xml:space="preserve"> Trung Quốc</w:t>
      </w:r>
      <w:r w:rsidRPr="00DD4289">
        <w:rPr>
          <w:rFonts w:ascii="Times New Roman" w:eastAsia="Microsoft YaHei" w:hAnsi="Times New Roman" w:cs="Times New Roman"/>
          <w:color w:val="262626"/>
          <w:sz w:val="28"/>
          <w:szCs w:val="28"/>
          <w:lang w:val="vi-VN"/>
        </w:rPr>
        <w:t xml:space="preserve"> ban hành “Quy định về hòa giải thương mại” (Quy đị</w:t>
      </w:r>
      <w:r w:rsidR="00EC1BE6" w:rsidRPr="00DD4289">
        <w:rPr>
          <w:rFonts w:ascii="Times New Roman" w:eastAsia="Microsoft YaHei" w:hAnsi="Times New Roman" w:cs="Times New Roman"/>
          <w:color w:val="262626"/>
          <w:sz w:val="28"/>
          <w:szCs w:val="28"/>
          <w:lang w:val="vi-VN"/>
        </w:rPr>
        <w:t>nh</w:t>
      </w:r>
      <w:r w:rsidR="00EC1BE6" w:rsidRPr="00D67146">
        <w:rPr>
          <w:rFonts w:ascii="Times New Roman" w:eastAsia="Microsoft YaHei" w:hAnsi="Times New Roman" w:cs="Times New Roman"/>
          <w:color w:val="262626"/>
          <w:sz w:val="28"/>
          <w:szCs w:val="28"/>
          <w:lang w:val="vi-VN"/>
        </w:rPr>
        <w:t>)</w:t>
      </w:r>
      <w:r w:rsidRPr="00DD4289">
        <w:rPr>
          <w:rFonts w:ascii="Times New Roman" w:eastAsia="Microsoft YaHei" w:hAnsi="Times New Roman" w:cs="Times New Roman"/>
          <w:color w:val="262626"/>
          <w:sz w:val="28"/>
          <w:szCs w:val="28"/>
          <w:lang w:val="vi-VN"/>
        </w:rPr>
        <w:t>, có hiệu lực từ</w:t>
      </w:r>
      <w:r w:rsidR="00202C47" w:rsidRPr="00D67146">
        <w:rPr>
          <w:rFonts w:ascii="Times New Roman" w:eastAsia="Microsoft YaHei" w:hAnsi="Times New Roman" w:cs="Times New Roman"/>
          <w:color w:val="262626"/>
          <w:sz w:val="28"/>
          <w:szCs w:val="28"/>
          <w:lang w:val="vi-VN"/>
        </w:rPr>
        <w:t xml:space="preserve"> 01/5/2026</w:t>
      </w:r>
      <w:r w:rsidR="00BD1681" w:rsidRPr="00D67146">
        <w:rPr>
          <w:rFonts w:ascii="Times New Roman" w:eastAsia="Microsoft YaHei" w:hAnsi="Times New Roman" w:cs="Times New Roman"/>
          <w:color w:val="262626"/>
          <w:sz w:val="28"/>
          <w:szCs w:val="28"/>
          <w:lang w:val="vi-VN"/>
        </w:rPr>
        <w:t xml:space="preserve">, </w:t>
      </w:r>
      <w:r w:rsidRPr="00DD4289">
        <w:rPr>
          <w:rFonts w:ascii="Times New Roman" w:eastAsia="Microsoft YaHei" w:hAnsi="Times New Roman" w:cs="Times New Roman"/>
          <w:color w:val="262626"/>
          <w:sz w:val="28"/>
          <w:szCs w:val="28"/>
          <w:lang w:val="vi-VN"/>
        </w:rPr>
        <w:t xml:space="preserve">nhằm mục đích điều chỉnh các hoạt động hòa giải thương mại, giải quyết hiệu quả các tranh chấp thương mại, bảo vệ quyền và lợi ích hợp pháp của các bên liên quan, thúc đẩy sự phát triển của ngành hòa giải thương mại và tối ưu hóa môi trường kinh doanh. </w:t>
      </w:r>
    </w:p>
    <w:p w14:paraId="5F4ADEEA" w14:textId="01E9BD5A" w:rsidR="009A0C48" w:rsidRPr="00D67146" w:rsidRDefault="009A0C48"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Quy định gồm 33 điều,</w:t>
      </w:r>
      <w:r w:rsidR="00BD1681" w:rsidRPr="00D67146">
        <w:rPr>
          <w:rFonts w:ascii="Times New Roman" w:eastAsia="Microsoft YaHei" w:hAnsi="Times New Roman" w:cs="Times New Roman"/>
          <w:color w:val="262626"/>
          <w:sz w:val="28"/>
          <w:szCs w:val="28"/>
          <w:lang w:val="vi-VN"/>
        </w:rPr>
        <w:t xml:space="preserve"> tập trung vào các nội dung sau</w:t>
      </w:r>
      <w:r w:rsidRPr="00DD4289">
        <w:rPr>
          <w:rFonts w:ascii="Times New Roman" w:eastAsia="Microsoft YaHei" w:hAnsi="Times New Roman" w:cs="Times New Roman"/>
          <w:color w:val="262626"/>
          <w:sz w:val="28"/>
          <w:szCs w:val="28"/>
          <w:lang w:val="vi-VN"/>
        </w:rPr>
        <w:t>:</w:t>
      </w:r>
    </w:p>
    <w:p w14:paraId="43E55348" w14:textId="77777777" w:rsidR="00BD1681" w:rsidRPr="00D67146" w:rsidRDefault="00BD1681"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67146">
        <w:rPr>
          <w:rFonts w:ascii="Times New Roman" w:eastAsia="Microsoft YaHei" w:hAnsi="Times New Roman" w:cs="Times New Roman"/>
          <w:color w:val="262626"/>
          <w:sz w:val="28"/>
          <w:szCs w:val="28"/>
          <w:lang w:val="vi-VN"/>
        </w:rPr>
        <w:t xml:space="preserve">(i) Làm </w:t>
      </w:r>
      <w:r w:rsidR="009A0C48" w:rsidRPr="00DD4289">
        <w:rPr>
          <w:rFonts w:ascii="Times New Roman" w:eastAsia="Microsoft YaHei" w:hAnsi="Times New Roman" w:cs="Times New Roman"/>
          <w:color w:val="262626"/>
          <w:sz w:val="28"/>
          <w:szCs w:val="28"/>
          <w:lang w:val="vi-VN"/>
        </w:rPr>
        <w:t xml:space="preserve">rõ phạm vi áp dụng của hòa giải thương mại. </w:t>
      </w:r>
      <w:r w:rsidRPr="00DD4289">
        <w:rPr>
          <w:rFonts w:ascii="Times New Roman" w:eastAsia="Microsoft YaHei" w:hAnsi="Times New Roman" w:cs="Times New Roman"/>
          <w:color w:val="262626"/>
          <w:sz w:val="28"/>
          <w:szCs w:val="28"/>
          <w:lang w:val="vi-VN"/>
        </w:rPr>
        <w:t xml:space="preserve">Theo đó, </w:t>
      </w:r>
      <w:r w:rsidR="009A0C48" w:rsidRPr="00DD4289">
        <w:rPr>
          <w:rFonts w:ascii="Times New Roman" w:eastAsia="Microsoft YaHei" w:hAnsi="Times New Roman" w:cs="Times New Roman"/>
          <w:color w:val="262626"/>
          <w:sz w:val="28"/>
          <w:szCs w:val="28"/>
          <w:lang w:val="vi-VN"/>
        </w:rPr>
        <w:t>các tranh chấp thương mại phát sinh giữa các bên trong các lĩnh vực thương mại, đầu tư, tài chính, vận tải, bất động sản, xây dựng công trình và sở hữu trí tuệ thuộc phạm vi hòa giải thương mạ</w:t>
      </w:r>
      <w:r w:rsidRPr="00DD4289">
        <w:rPr>
          <w:rFonts w:ascii="Times New Roman" w:eastAsia="Microsoft YaHei" w:hAnsi="Times New Roman" w:cs="Times New Roman"/>
          <w:color w:val="262626"/>
          <w:sz w:val="28"/>
          <w:szCs w:val="28"/>
          <w:lang w:val="vi-VN"/>
        </w:rPr>
        <w:t>i.</w:t>
      </w:r>
    </w:p>
    <w:p w14:paraId="09E6FE05" w14:textId="4FB8CE24" w:rsidR="00BD1681" w:rsidRPr="00D67146" w:rsidRDefault="00BD1681"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 xml:space="preserve">(ii) Làm </w:t>
      </w:r>
      <w:r w:rsidR="009A0C48" w:rsidRPr="00DD4289">
        <w:rPr>
          <w:rFonts w:ascii="Times New Roman" w:eastAsia="Microsoft YaHei" w:hAnsi="Times New Roman" w:cs="Times New Roman"/>
          <w:color w:val="262626"/>
          <w:sz w:val="28"/>
          <w:szCs w:val="28"/>
          <w:lang w:val="vi-VN"/>
        </w:rPr>
        <w:t xml:space="preserve">rõ hệ thống quản lý công tác hòa giải thương mại. </w:t>
      </w:r>
      <w:r w:rsidRPr="00DD4289">
        <w:rPr>
          <w:rFonts w:ascii="Times New Roman" w:eastAsia="Microsoft YaHei" w:hAnsi="Times New Roman" w:cs="Times New Roman"/>
          <w:color w:val="262626"/>
          <w:sz w:val="28"/>
          <w:szCs w:val="28"/>
          <w:lang w:val="vi-VN"/>
        </w:rPr>
        <w:t>Bộ Tư pháp Trung Quốc chịu trách nhiệm hướng dẫn và điều phối công tác hòa giải thương mại toàn quốc, đồng thời xây dựng kế hoạch phát triển của ngành này. Trong khi đó, các cơ quan tư pháp cấp huyện và các cấp cao hơn có trách nhiệm hướng dẫn và quản lý công tác hòa giải trong phạm vi địa phương của mình. Các tổ chức tự quản ngành hòa giải thương mại sẽ thực hiện tự giám sát và tự điều chỉnh theo pháp luật và quy định.</w:t>
      </w:r>
    </w:p>
    <w:p w14:paraId="044720C3" w14:textId="77777777" w:rsidR="00BD1681" w:rsidRPr="00DD4289" w:rsidRDefault="00BD1681"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67146">
        <w:rPr>
          <w:rFonts w:ascii="Times New Roman" w:eastAsia="Microsoft YaHei" w:hAnsi="Times New Roman" w:cs="Times New Roman"/>
          <w:color w:val="262626"/>
          <w:sz w:val="28"/>
          <w:szCs w:val="28"/>
          <w:lang w:val="vi-VN"/>
        </w:rPr>
        <w:t xml:space="preserve">(iii) Đặt ra </w:t>
      </w:r>
      <w:r w:rsidRPr="00BD1681">
        <w:rPr>
          <w:rFonts w:ascii="Times New Roman" w:eastAsia="Microsoft YaHei" w:hAnsi="Times New Roman" w:cs="Times New Roman"/>
          <w:color w:val="262626"/>
          <w:sz w:val="28"/>
          <w:szCs w:val="28"/>
          <w:lang w:val="vi-VN"/>
        </w:rPr>
        <w:t xml:space="preserve">các tiêu chuẩn đối với tổ chức hòa giải thương mại và các hòa giải viên, yêu cầu các tổ chức hòa giải phải thiết lập hệ thống quản lý nội bộ, </w:t>
      </w:r>
      <w:r w:rsidRPr="00BD1681">
        <w:rPr>
          <w:rFonts w:ascii="Times New Roman" w:eastAsia="Microsoft YaHei" w:hAnsi="Times New Roman" w:cs="Times New Roman"/>
          <w:color w:val="262626"/>
          <w:sz w:val="28"/>
          <w:szCs w:val="28"/>
          <w:lang w:val="vi-VN"/>
        </w:rPr>
        <w:lastRenderedPageBreak/>
        <w:t>kiểm tra xung đột lợi ích và xử lý khiếu nại, đồng thời công khai quy chế hoạt động, danh sách hòa giải viên và các quy định liên quan.</w:t>
      </w:r>
    </w:p>
    <w:p w14:paraId="33D52E3A" w14:textId="77777777" w:rsidR="00BD1681" w:rsidRPr="00D67146" w:rsidRDefault="00BD1681"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 xml:space="preserve">(iv) Làm </w:t>
      </w:r>
      <w:r w:rsidR="009A0C48" w:rsidRPr="00DD4289">
        <w:rPr>
          <w:rFonts w:ascii="Times New Roman" w:eastAsia="Microsoft YaHei" w:hAnsi="Times New Roman" w:cs="Times New Roman"/>
          <w:color w:val="262626"/>
          <w:sz w:val="28"/>
          <w:szCs w:val="28"/>
          <w:lang w:val="vi-VN"/>
        </w:rPr>
        <w:t xml:space="preserve">rõ các quy tắc cơ bản đối với hoạt động hòa giải thương mại. </w:t>
      </w:r>
      <w:r w:rsidRPr="00DD4289">
        <w:rPr>
          <w:rFonts w:ascii="Times New Roman" w:eastAsia="Microsoft YaHei" w:hAnsi="Times New Roman" w:cs="Times New Roman"/>
          <w:color w:val="262626"/>
          <w:sz w:val="28"/>
          <w:szCs w:val="28"/>
          <w:lang w:val="vi-VN"/>
        </w:rPr>
        <w:t>Theo đó, các</w:t>
      </w:r>
      <w:r w:rsidRPr="00BD1681">
        <w:rPr>
          <w:rFonts w:ascii="Times New Roman" w:eastAsia="Microsoft YaHei" w:hAnsi="Times New Roman" w:cs="Times New Roman"/>
          <w:color w:val="262626"/>
          <w:sz w:val="28"/>
          <w:szCs w:val="28"/>
          <w:lang w:val="vi-VN"/>
        </w:rPr>
        <w:t xml:space="preserve"> hoạt động hòa giải thương mại phải tuân theo nguyên tắc tự nguyện, hợp pháp, trung thực và bảo mật. Hòa giải viên phải giữ quan điểm trung lập, có trách nhiệm cao và tuân thủ đạo đức nghề nghiệp, bảo mật thông tin, cũng như thực hiện nghĩa vụ công khai khi cần thiết. Các bên có thể yêu cầu công nhận pháp lý các thỏa thuận hòa giải tại tòa án.</w:t>
      </w:r>
    </w:p>
    <w:p w14:paraId="204354E4" w14:textId="77777777" w:rsidR="0058239B" w:rsidRPr="00DD4289" w:rsidRDefault="00BD1681"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(v) Chính phủ Trung Quốc sẽ hỗ trợ phát triển các tổ chức hòa giải thương mại có ảnh hưởng quốc tế và nâng cao sức cạnh tranh của các tổ chức này trên trường quốc tế. Các tổ chức hòa giải được khuyến khích thực hiện hòa giải thương mại quốc tế, tham gia xây dựng các quy định quốc tế về hòa giải và phát triển nhân tài trong ngành hòa giải thương mại.</w:t>
      </w:r>
    </w:p>
    <w:p w14:paraId="069929A6" w14:textId="49FFFBFC" w:rsidR="0058239B" w:rsidRPr="00DD4289" w:rsidRDefault="006955EE" w:rsidP="00DD4289">
      <w:pPr>
        <w:spacing w:before="60" w:after="60" w:line="360" w:lineRule="exact"/>
        <w:ind w:firstLine="720"/>
        <w:jc w:val="both"/>
        <w:rPr>
          <w:rFonts w:ascii="Times New Roman" w:eastAsia="Microsoft YaHei" w:hAnsi="Times New Roman" w:cs="Times New Roman"/>
          <w:b/>
          <w:color w:val="262626"/>
          <w:sz w:val="28"/>
          <w:szCs w:val="28"/>
          <w:lang w:val="vi-VN"/>
        </w:rPr>
      </w:pPr>
      <w:r w:rsidRPr="00DD4289">
        <w:rPr>
          <w:rFonts w:ascii="Times New Roman" w:eastAsia="Microsoft YaHei" w:hAnsi="Times New Roman" w:cs="Times New Roman"/>
          <w:b/>
          <w:color w:val="262626"/>
          <w:sz w:val="28"/>
          <w:szCs w:val="28"/>
          <w:lang w:val="vi-VN"/>
        </w:rPr>
        <w:t xml:space="preserve">10. </w:t>
      </w:r>
      <w:r w:rsidR="0058239B" w:rsidRPr="00DD4289">
        <w:rPr>
          <w:rFonts w:ascii="Times New Roman" w:eastAsia="Microsoft YaHei" w:hAnsi="Times New Roman" w:cs="Times New Roman"/>
          <w:b/>
          <w:color w:val="262626"/>
          <w:sz w:val="28"/>
          <w:szCs w:val="28"/>
          <w:lang w:val="vi-VN"/>
        </w:rPr>
        <w:t xml:space="preserve">Quản lý </w:t>
      </w:r>
      <w:r w:rsidR="00DF2E67" w:rsidRPr="00DD4289">
        <w:rPr>
          <w:rFonts w:ascii="Times New Roman" w:eastAsia="Microsoft YaHei" w:hAnsi="Times New Roman" w:cs="Times New Roman"/>
          <w:b/>
          <w:color w:val="262626"/>
          <w:sz w:val="28"/>
          <w:szCs w:val="28"/>
          <w:lang w:val="vi-VN"/>
        </w:rPr>
        <w:t>các quỹ đầu tư do chính phủ lập ra</w:t>
      </w:r>
    </w:p>
    <w:p w14:paraId="46FF122A" w14:textId="77777777" w:rsidR="00B07383" w:rsidRPr="00DD4289" w:rsidRDefault="00DF2E67"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Ngày 12/01</w:t>
      </w:r>
      <w:r w:rsidR="0058239B" w:rsidRPr="00D67146">
        <w:rPr>
          <w:rFonts w:ascii="Times New Roman" w:eastAsia="Microsoft YaHei" w:hAnsi="Times New Roman" w:cs="Times New Roman"/>
          <w:color w:val="262626"/>
          <w:sz w:val="28"/>
          <w:szCs w:val="28"/>
          <w:lang w:val="vi-VN"/>
        </w:rPr>
        <w:t>/2026</w:t>
      </w:r>
      <w:r w:rsidRPr="00DD4289">
        <w:rPr>
          <w:rFonts w:ascii="Times New Roman" w:eastAsia="Microsoft YaHei" w:hAnsi="Times New Roman" w:cs="Times New Roman"/>
          <w:color w:val="262626"/>
          <w:sz w:val="28"/>
          <w:szCs w:val="28"/>
          <w:lang w:val="vi-VN"/>
        </w:rPr>
        <w:t xml:space="preserve">, 04 cơ quan trung ương gồm Ủy ban Phát triển và Cải cách quốc gia, Bộ Tài chính, Bộ Khoa học Công nghệ và Bộ Công nghiệp và Thông tin Trung Quốc đã cùng ban hành “Biện pháp công tác về tăng cường quy hoạch bố trí và hướng dẫn định hướng đầu tư của quỹ đầu tư chính phủ”. </w:t>
      </w:r>
      <w:r w:rsidR="00751143" w:rsidRPr="00DD4289">
        <w:rPr>
          <w:rFonts w:ascii="Times New Roman" w:eastAsia="Microsoft YaHei" w:hAnsi="Times New Roman" w:cs="Times New Roman"/>
          <w:color w:val="262626"/>
          <w:sz w:val="28"/>
          <w:szCs w:val="28"/>
          <w:lang w:val="vi-VN"/>
        </w:rPr>
        <w:t xml:space="preserve">Đây là lần đầu tiên Trung Quốc ban hành văn bản hướng dẫn về việc quy hoạch và định hướng đầu tư đối với các quỹ do nhà nước thành lập. Văn bản nói trên </w:t>
      </w:r>
      <w:r w:rsidR="00B07383" w:rsidRPr="00DD4289">
        <w:rPr>
          <w:rFonts w:ascii="Times New Roman" w:eastAsia="Microsoft YaHei" w:hAnsi="Times New Roman" w:cs="Times New Roman"/>
          <w:color w:val="262626"/>
          <w:sz w:val="28"/>
          <w:szCs w:val="28"/>
          <w:lang w:val="vi-VN"/>
        </w:rPr>
        <w:t xml:space="preserve">đưa ra 14 nhóm giải pháp cụ thể, </w:t>
      </w:r>
      <w:r w:rsidR="00751143" w:rsidRPr="00DD4289">
        <w:rPr>
          <w:rFonts w:ascii="Times New Roman" w:eastAsia="Microsoft YaHei" w:hAnsi="Times New Roman" w:cs="Times New Roman"/>
          <w:color w:val="262626"/>
          <w:sz w:val="28"/>
          <w:szCs w:val="28"/>
          <w:lang w:val="vi-VN"/>
        </w:rPr>
        <w:t>tập trung vào các nộ</w:t>
      </w:r>
      <w:r w:rsidR="00B07383" w:rsidRPr="00DD4289">
        <w:rPr>
          <w:rFonts w:ascii="Times New Roman" w:eastAsia="Microsoft YaHei" w:hAnsi="Times New Roman" w:cs="Times New Roman"/>
          <w:color w:val="262626"/>
          <w:sz w:val="28"/>
          <w:szCs w:val="28"/>
          <w:lang w:val="vi-VN"/>
        </w:rPr>
        <w:t>i dung sau:</w:t>
      </w:r>
    </w:p>
    <w:p w14:paraId="6DD12B0B" w14:textId="77777777" w:rsidR="00B07383" w:rsidRPr="00DD4289" w:rsidRDefault="00B07383"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 xml:space="preserve">(i) Về </w:t>
      </w:r>
      <w:r w:rsidR="00DF2E67" w:rsidRPr="00DD4289">
        <w:rPr>
          <w:rFonts w:ascii="Times New Roman" w:eastAsia="Microsoft YaHei" w:hAnsi="Times New Roman" w:cs="Times New Roman"/>
          <w:color w:val="262626"/>
          <w:sz w:val="28"/>
          <w:szCs w:val="28"/>
          <w:lang w:val="vi-VN"/>
        </w:rPr>
        <w:t>tối ưu hoá phân bổ quỹ đầu tư quố</w:t>
      </w:r>
      <w:r w:rsidRPr="00DD4289">
        <w:rPr>
          <w:rFonts w:ascii="Times New Roman" w:eastAsia="Microsoft YaHei" w:hAnsi="Times New Roman" w:cs="Times New Roman"/>
          <w:color w:val="262626"/>
          <w:sz w:val="28"/>
          <w:szCs w:val="28"/>
          <w:lang w:val="vi-VN"/>
        </w:rPr>
        <w:t>c gia, c</w:t>
      </w:r>
      <w:r w:rsidR="00DF2E67" w:rsidRPr="00DD4289">
        <w:rPr>
          <w:rFonts w:ascii="Times New Roman" w:eastAsia="Microsoft YaHei" w:hAnsi="Times New Roman" w:cs="Times New Roman"/>
          <w:color w:val="262626"/>
          <w:sz w:val="28"/>
          <w:szCs w:val="28"/>
          <w:lang w:val="vi-VN"/>
        </w:rPr>
        <w:t>ác quỹ cần tập trung vào các chiến lược lớn, lĩnh vực trọng điểm và những “điểm nghẽn” mà thị trường không thể tự giải quyết hiệu quả. Mụ</w:t>
      </w:r>
      <w:r w:rsidRPr="00DD4289">
        <w:rPr>
          <w:rFonts w:ascii="Times New Roman" w:eastAsia="Microsoft YaHei" w:hAnsi="Times New Roman" w:cs="Times New Roman"/>
          <w:color w:val="262626"/>
          <w:sz w:val="28"/>
          <w:szCs w:val="28"/>
          <w:lang w:val="vi-VN"/>
        </w:rPr>
        <w:t>c tiêu nhằm</w:t>
      </w:r>
      <w:r w:rsidR="00DF2E67" w:rsidRPr="00DD4289">
        <w:rPr>
          <w:rFonts w:ascii="Times New Roman" w:eastAsia="Microsoft YaHei" w:hAnsi="Times New Roman" w:cs="Times New Roman"/>
          <w:color w:val="262626"/>
          <w:sz w:val="28"/>
          <w:szCs w:val="28"/>
          <w:lang w:val="vi-VN"/>
        </w:rPr>
        <w:t xml:space="preserve"> thúc đẩy đổi mới công nghệ gắn liền với đổi mới sản xuất, phát triển những ngành công nghiệp nòng cốt mới. Ưu tiên đầu tư từ sớm, đầu tư vào các dự án nhỏ, đầu tư dài hạn và đầu tư vào các công nghệ nền tảng, then chốt.</w:t>
      </w:r>
    </w:p>
    <w:p w14:paraId="1A5A34EC" w14:textId="54B461EA" w:rsidR="00DF2E67" w:rsidRPr="00D67146" w:rsidRDefault="00B07383"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color w:val="262626"/>
          <w:sz w:val="28"/>
          <w:szCs w:val="28"/>
          <w:lang w:val="vi-VN"/>
        </w:rPr>
        <w:t xml:space="preserve">(ii) Về </w:t>
      </w:r>
      <w:r w:rsidR="00DF2E67" w:rsidRPr="00DD4289">
        <w:rPr>
          <w:rFonts w:ascii="Times New Roman" w:eastAsia="Microsoft YaHei" w:hAnsi="Times New Roman" w:cs="Times New Roman"/>
          <w:color w:val="262626"/>
          <w:sz w:val="28"/>
          <w:szCs w:val="28"/>
          <w:lang w:val="vi-VN"/>
        </w:rPr>
        <w:t>tăng cường hướng dẫn định hướng đầu tư</w:t>
      </w:r>
      <w:r w:rsidRPr="00DD4289">
        <w:rPr>
          <w:rFonts w:ascii="Times New Roman" w:eastAsia="Microsoft YaHei" w:hAnsi="Times New Roman" w:cs="Times New Roman"/>
          <w:color w:val="262626"/>
          <w:sz w:val="28"/>
          <w:szCs w:val="28"/>
          <w:lang w:val="vi-VN"/>
        </w:rPr>
        <w:t>, y</w:t>
      </w:r>
      <w:r w:rsidR="00DF2E67" w:rsidRPr="00DD4289">
        <w:rPr>
          <w:rFonts w:ascii="Times New Roman" w:eastAsia="Microsoft YaHei" w:hAnsi="Times New Roman" w:cs="Times New Roman"/>
          <w:color w:val="262626"/>
          <w:sz w:val="28"/>
          <w:szCs w:val="28"/>
          <w:lang w:val="vi-VN"/>
        </w:rPr>
        <w:t>êu cầu các quỹ chỉ được đầu tư vào những ngành, lĩnh vực trọng điểm, khuyến khích phát triển theo quy hoạch nhà nước và danh mục ngành nghề quố</w:t>
      </w:r>
      <w:r w:rsidRPr="00DD4289">
        <w:rPr>
          <w:rFonts w:ascii="Times New Roman" w:eastAsia="Microsoft YaHei" w:hAnsi="Times New Roman" w:cs="Times New Roman"/>
          <w:color w:val="262626"/>
          <w:sz w:val="28"/>
          <w:szCs w:val="28"/>
          <w:lang w:val="vi-VN"/>
        </w:rPr>
        <w:t>c gia; t</w:t>
      </w:r>
      <w:r w:rsidR="00DF2E67" w:rsidRPr="00DD4289">
        <w:rPr>
          <w:rFonts w:ascii="Times New Roman" w:eastAsia="Microsoft YaHei" w:hAnsi="Times New Roman" w:cs="Times New Roman"/>
          <w:color w:val="262626"/>
          <w:sz w:val="28"/>
          <w:szCs w:val="28"/>
          <w:lang w:val="vi-VN"/>
        </w:rPr>
        <w:t>uyệt đối không được rót vốn vào các ngành bị hạn chế, loại bỏ hoặc bị cấm theo quy định.</w:t>
      </w:r>
    </w:p>
    <w:p w14:paraId="494B50E0" w14:textId="77777777" w:rsidR="006955EE" w:rsidRPr="00DD4289" w:rsidRDefault="00B07383"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67146">
        <w:rPr>
          <w:rFonts w:ascii="Times New Roman" w:eastAsia="Microsoft YaHei" w:hAnsi="Times New Roman" w:cs="Times New Roman"/>
          <w:color w:val="262626"/>
          <w:sz w:val="28"/>
          <w:szCs w:val="28"/>
          <w:lang w:val="vi-VN"/>
        </w:rPr>
        <w:t xml:space="preserve">(iii) Xác định rõ </w:t>
      </w:r>
      <w:r w:rsidR="00DF2E67" w:rsidRPr="00DD4289">
        <w:rPr>
          <w:rFonts w:ascii="Times New Roman" w:eastAsia="Microsoft YaHei" w:hAnsi="Times New Roman" w:cs="Times New Roman"/>
          <w:color w:val="262626"/>
          <w:sz w:val="28"/>
          <w:szCs w:val="28"/>
          <w:lang w:val="vi-VN"/>
        </w:rPr>
        <w:t xml:space="preserve">nhiệm vụ và trọng tâm đầu tư giữa quỹ cấp quốc gia và quỹ cấp địa phương. </w:t>
      </w:r>
      <w:r w:rsidR="00FD1988" w:rsidRPr="00DD4289">
        <w:rPr>
          <w:rFonts w:ascii="Times New Roman" w:eastAsia="Microsoft YaHei" w:hAnsi="Times New Roman" w:cs="Times New Roman"/>
          <w:color w:val="262626"/>
          <w:sz w:val="28"/>
          <w:szCs w:val="28"/>
          <w:lang w:val="vi-VN"/>
        </w:rPr>
        <w:t>Theo đó, q</w:t>
      </w:r>
      <w:r w:rsidR="00DF2E67" w:rsidRPr="00DD4289">
        <w:rPr>
          <w:rFonts w:ascii="Times New Roman" w:eastAsia="Microsoft YaHei" w:hAnsi="Times New Roman" w:cs="Times New Roman"/>
          <w:color w:val="262626"/>
          <w:sz w:val="28"/>
          <w:szCs w:val="28"/>
          <w:lang w:val="vi-VN"/>
        </w:rPr>
        <w:t>uỹ đầu tư cấp quốc gia phải có tầm nhìn toàn cục, tập trung hỗ trợ xây dựng hệ thống công nghiệp hiện đại và nghiên cứu, phát triển những công nghệ cốt lõi, then chốt, nhằm khắc phục điểm yếu và tháo gỡ “nút thắt” cho nền kinh tế</w:t>
      </w:r>
      <w:r w:rsidR="00FD1988" w:rsidRPr="00DD4289">
        <w:rPr>
          <w:rFonts w:ascii="Times New Roman" w:eastAsia="Microsoft YaHei" w:hAnsi="Times New Roman" w:cs="Times New Roman"/>
          <w:color w:val="262626"/>
          <w:sz w:val="28"/>
          <w:szCs w:val="28"/>
          <w:lang w:val="vi-VN"/>
        </w:rPr>
        <w:t xml:space="preserve">. </w:t>
      </w:r>
      <w:r w:rsidR="00DF2E67" w:rsidRPr="00DD4289">
        <w:rPr>
          <w:rFonts w:ascii="Times New Roman" w:eastAsia="Microsoft YaHei" w:hAnsi="Times New Roman" w:cs="Times New Roman"/>
          <w:color w:val="262626"/>
          <w:sz w:val="28"/>
          <w:szCs w:val="28"/>
          <w:lang w:val="vi-VN"/>
        </w:rPr>
        <w:t xml:space="preserve">Quỹ đầu tư cấp địa phương cần căn cứ vào điều kiện thực tế của địa phương để chọn lĩnh vực đầu tư, tuân thủ các nguyên tắc thị trường thống nhất, tập trung vào nâng cấp ngành nghề, đẩy mạnh đổi mới sáng </w:t>
      </w:r>
      <w:r w:rsidR="00DF2E67" w:rsidRPr="00DD4289">
        <w:rPr>
          <w:rFonts w:ascii="Times New Roman" w:eastAsia="Microsoft YaHei" w:hAnsi="Times New Roman" w:cs="Times New Roman"/>
          <w:color w:val="262626"/>
          <w:sz w:val="28"/>
          <w:szCs w:val="28"/>
          <w:lang w:val="vi-VN"/>
        </w:rPr>
        <w:lastRenderedPageBreak/>
        <w:t>tạo, hỗ trợ doanh nghiệp nhỏ và vừa, doanh nghiệp công nghệ, từ đó dẫn dắt, thu hút vốn xã hội cùng tham gia.</w:t>
      </w:r>
    </w:p>
    <w:p w14:paraId="6508C872" w14:textId="77777777" w:rsidR="006955EE" w:rsidRPr="00DD4289" w:rsidRDefault="006955EE"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D4289">
        <w:rPr>
          <w:rFonts w:ascii="Times New Roman" w:eastAsia="Microsoft YaHei" w:hAnsi="Times New Roman" w:cs="Times New Roman"/>
          <w:b/>
          <w:color w:val="262626"/>
          <w:sz w:val="28"/>
          <w:szCs w:val="28"/>
          <w:lang w:val="vi-VN"/>
        </w:rPr>
        <w:t>11.</w:t>
      </w:r>
      <w:r w:rsidRPr="00DD4289">
        <w:rPr>
          <w:rFonts w:ascii="Times New Roman" w:eastAsia="Microsoft YaHei" w:hAnsi="Times New Roman" w:cs="Times New Roman"/>
          <w:color w:val="262626"/>
          <w:sz w:val="28"/>
          <w:szCs w:val="28"/>
          <w:lang w:val="vi-VN"/>
        </w:rPr>
        <w:t xml:space="preserve"> </w:t>
      </w:r>
      <w:r w:rsidRPr="00DD4289">
        <w:rPr>
          <w:rFonts w:ascii="Times New Roman" w:hAnsi="Times New Roman" w:cs="Times New Roman"/>
          <w:b/>
          <w:bCs/>
          <w:noProof/>
          <w:sz w:val="28"/>
          <w:szCs w:val="28"/>
          <w:lang w:val="vi-VN"/>
        </w:rPr>
        <w:t xml:space="preserve">Thúc </w:t>
      </w:r>
      <w:r w:rsidR="005356DA" w:rsidRPr="00DD4289">
        <w:rPr>
          <w:rFonts w:ascii="Times New Roman" w:hAnsi="Times New Roman" w:cs="Times New Roman"/>
          <w:b/>
          <w:bCs/>
          <w:noProof/>
          <w:sz w:val="28"/>
          <w:szCs w:val="28"/>
          <w:lang w:val="vi-VN"/>
        </w:rPr>
        <w:t>đẩy phát triển kế thừa văn hóa ngôn ngữ ưu tú Trung Hoa</w:t>
      </w:r>
    </w:p>
    <w:p w14:paraId="56BAE9BE" w14:textId="77777777" w:rsidR="006955EE" w:rsidRPr="00D67146" w:rsidRDefault="005356DA" w:rsidP="00DD4289">
      <w:pPr>
        <w:spacing w:before="60" w:after="60" w:line="360" w:lineRule="exact"/>
        <w:ind w:firstLine="720"/>
        <w:jc w:val="both"/>
        <w:rPr>
          <w:rFonts w:ascii="Times New Roman" w:hAnsi="Times New Roman" w:cs="Times New Roman"/>
          <w:noProof/>
          <w:sz w:val="28"/>
          <w:szCs w:val="28"/>
          <w:lang w:val="vi-VN"/>
        </w:rPr>
      </w:pPr>
      <w:r w:rsidRPr="00DD4289">
        <w:rPr>
          <w:rFonts w:ascii="Times New Roman" w:hAnsi="Times New Roman" w:cs="Times New Roman"/>
          <w:noProof/>
          <w:sz w:val="28"/>
          <w:szCs w:val="28"/>
          <w:lang w:val="vi-VN"/>
        </w:rPr>
        <w:t>Mới đây, Bộ Giáo dục Trung Quốc cùng 6 cơ quan khác bao gồm: Ủy ban Ngôn ngữ Quốc gia, Ban Tuyên truyền Trung ương, Ban An toàn Mạng Internet và Thông tin hóa Trung ương, Bộ Văn hóa và Du lịch, Cục Di sản Văn hóa Quốc gia và Đoàn Thanh niên Cộng sản Trung ương Trung Quốc</w:t>
      </w:r>
      <w:r w:rsidR="006955EE" w:rsidRPr="00DD4289">
        <w:rPr>
          <w:rFonts w:ascii="Times New Roman" w:hAnsi="Times New Roman" w:cs="Times New Roman"/>
          <w:noProof/>
          <w:sz w:val="28"/>
          <w:szCs w:val="28"/>
          <w:lang w:val="vi-VN"/>
        </w:rPr>
        <w:t xml:space="preserve"> đã ban hành “</w:t>
      </w:r>
      <w:r w:rsidRPr="00DD4289">
        <w:rPr>
          <w:rFonts w:ascii="Times New Roman" w:hAnsi="Times New Roman" w:cs="Times New Roman"/>
          <w:noProof/>
          <w:sz w:val="28"/>
          <w:szCs w:val="28"/>
          <w:lang w:val="vi-VN"/>
        </w:rPr>
        <w:t>Ý kiến về việc đi sâu thúc đẩy việc phát triển kế thừa văn hóa ngôn ngữ ưu tú của Trung Hoa, nâng cao tố chất văn hóa ngôn ngữ</w:t>
      </w:r>
      <w:r w:rsidR="006955EE" w:rsidRPr="00DD4289">
        <w:rPr>
          <w:rFonts w:ascii="Times New Roman" w:hAnsi="Times New Roman" w:cs="Times New Roman"/>
          <w:noProof/>
          <w:sz w:val="28"/>
          <w:szCs w:val="28"/>
          <w:lang w:val="vi-VN"/>
        </w:rPr>
        <w:t xml:space="preserve"> toàn dân”, trong đó đề ra 7 nhiệm vụ, gồm: </w:t>
      </w:r>
    </w:p>
    <w:p w14:paraId="0775263C" w14:textId="77777777" w:rsidR="006955EE" w:rsidRPr="00D67146" w:rsidRDefault="006955EE" w:rsidP="00DD4289">
      <w:pPr>
        <w:spacing w:before="60" w:after="60" w:line="360" w:lineRule="exact"/>
        <w:ind w:firstLine="720"/>
        <w:jc w:val="both"/>
        <w:rPr>
          <w:rFonts w:ascii="Times New Roman" w:hAnsi="Times New Roman" w:cs="Times New Roman"/>
          <w:noProof/>
          <w:sz w:val="28"/>
          <w:szCs w:val="28"/>
          <w:lang w:val="vi-VN"/>
        </w:rPr>
      </w:pPr>
      <w:r w:rsidRPr="00DD4289">
        <w:rPr>
          <w:rFonts w:ascii="Times New Roman" w:hAnsi="Times New Roman" w:cs="Times New Roman"/>
          <w:noProof/>
          <w:sz w:val="28"/>
          <w:szCs w:val="28"/>
          <w:lang w:val="vi-VN"/>
        </w:rPr>
        <w:t xml:space="preserve">(i) </w:t>
      </w:r>
      <w:r w:rsidRPr="00D67146">
        <w:rPr>
          <w:rFonts w:ascii="Times New Roman" w:eastAsia="Microsoft YaHei" w:hAnsi="Times New Roman" w:cs="Times New Roman"/>
          <w:color w:val="262626"/>
          <w:sz w:val="28"/>
          <w:szCs w:val="28"/>
          <w:lang w:val="vi-VN"/>
        </w:rPr>
        <w:t xml:space="preserve">Nghiên </w:t>
      </w:r>
      <w:r w:rsidR="005356DA" w:rsidRPr="00DD4289">
        <w:rPr>
          <w:rFonts w:ascii="Times New Roman" w:hAnsi="Times New Roman" w:cs="Times New Roman"/>
          <w:noProof/>
          <w:sz w:val="28"/>
          <w:szCs w:val="28"/>
          <w:lang w:val="vi-VN"/>
        </w:rPr>
        <w:t xml:space="preserve">cứu khoa học làm sáng tỏ các vấn đề lý luận và thực tiễn quan trọng liên quan đến văn hóa ngôn ngữ. </w:t>
      </w:r>
    </w:p>
    <w:p w14:paraId="169C3D13" w14:textId="77777777" w:rsidR="006955EE" w:rsidRPr="00D67146" w:rsidRDefault="006955EE" w:rsidP="00DD4289">
      <w:pPr>
        <w:spacing w:before="60" w:after="60" w:line="360" w:lineRule="exact"/>
        <w:ind w:firstLine="720"/>
        <w:jc w:val="both"/>
        <w:rPr>
          <w:rFonts w:ascii="Times New Roman" w:hAnsi="Times New Roman" w:cs="Times New Roman"/>
          <w:noProof/>
          <w:sz w:val="28"/>
          <w:szCs w:val="28"/>
          <w:lang w:val="vi-VN"/>
        </w:rPr>
      </w:pPr>
      <w:r w:rsidRPr="00D67146">
        <w:rPr>
          <w:rFonts w:ascii="Times New Roman" w:eastAsia="Microsoft YaHei" w:hAnsi="Times New Roman" w:cs="Times New Roman"/>
          <w:color w:val="262626"/>
          <w:sz w:val="28"/>
          <w:szCs w:val="28"/>
          <w:lang w:val="vi-VN"/>
        </w:rPr>
        <w:t xml:space="preserve">(ii) </w:t>
      </w:r>
      <w:r w:rsidRPr="00D67146">
        <w:rPr>
          <w:rFonts w:ascii="Times New Roman" w:hAnsi="Times New Roman" w:cs="Times New Roman"/>
          <w:noProof/>
          <w:sz w:val="28"/>
          <w:szCs w:val="28"/>
          <w:lang w:val="vi-VN"/>
        </w:rPr>
        <w:t>T</w:t>
      </w:r>
      <w:r w:rsidR="005356DA" w:rsidRPr="00DD4289">
        <w:rPr>
          <w:rFonts w:ascii="Times New Roman" w:hAnsi="Times New Roman" w:cs="Times New Roman"/>
          <w:noProof/>
          <w:sz w:val="28"/>
          <w:szCs w:val="28"/>
          <w:lang w:val="vi-VN"/>
        </w:rPr>
        <w:t>húc đẩy phổ cập giáo dục</w:t>
      </w:r>
      <w:r w:rsidRPr="00D67146">
        <w:rPr>
          <w:rFonts w:ascii="Times New Roman" w:hAnsi="Times New Roman" w:cs="Times New Roman"/>
          <w:noProof/>
          <w:sz w:val="28"/>
          <w:szCs w:val="28"/>
          <w:lang w:val="vi-VN"/>
        </w:rPr>
        <w:t>,</w:t>
      </w:r>
      <w:r w:rsidR="005356DA" w:rsidRPr="00DD4289">
        <w:rPr>
          <w:rFonts w:ascii="Times New Roman" w:hAnsi="Times New Roman" w:cs="Times New Roman"/>
          <w:noProof/>
          <w:sz w:val="28"/>
          <w:szCs w:val="28"/>
          <w:lang w:val="vi-VN"/>
        </w:rPr>
        <w:t xml:space="preserve"> thúc đẩy các địa phương, trường học và đơn vị liên quan đổi mới thực hiện giáo dục văn hóa ngôn ngữ ưu tú của Trung Hoa. </w:t>
      </w:r>
    </w:p>
    <w:p w14:paraId="4CBDD629" w14:textId="77777777" w:rsidR="006955EE" w:rsidRPr="00D67146" w:rsidRDefault="006955EE" w:rsidP="00DD4289">
      <w:pPr>
        <w:spacing w:before="60" w:after="60" w:line="360" w:lineRule="exact"/>
        <w:ind w:firstLine="720"/>
        <w:jc w:val="both"/>
        <w:rPr>
          <w:rFonts w:ascii="Times New Roman" w:hAnsi="Times New Roman" w:cs="Times New Roman"/>
          <w:noProof/>
          <w:sz w:val="28"/>
          <w:szCs w:val="28"/>
          <w:lang w:val="vi-VN"/>
        </w:rPr>
      </w:pPr>
      <w:r w:rsidRPr="00D67146">
        <w:rPr>
          <w:rFonts w:ascii="Times New Roman" w:hAnsi="Times New Roman" w:cs="Times New Roman"/>
          <w:noProof/>
          <w:sz w:val="28"/>
          <w:szCs w:val="28"/>
          <w:lang w:val="vi-VN"/>
        </w:rPr>
        <w:t xml:space="preserve">(iii) Bảo </w:t>
      </w:r>
      <w:r w:rsidR="005356DA" w:rsidRPr="00DD4289">
        <w:rPr>
          <w:rFonts w:ascii="Times New Roman" w:hAnsi="Times New Roman" w:cs="Times New Roman"/>
          <w:noProof/>
          <w:sz w:val="28"/>
          <w:szCs w:val="28"/>
          <w:lang w:val="vi-VN"/>
        </w:rPr>
        <w:t xml:space="preserve">vệ, khai thác và tăng cường quản lý tài nguyên ngôn ngữ quốc gia; đẩy mạnh việc khai thác chia sẻ, hỗ trợ để tài nguyên ngôn ngữ có thể trở thành lợi thế phát triển văn hóa. </w:t>
      </w:r>
    </w:p>
    <w:p w14:paraId="2A576131" w14:textId="77777777" w:rsidR="006955EE" w:rsidRPr="00D67146" w:rsidRDefault="006955EE" w:rsidP="00DD4289">
      <w:pPr>
        <w:spacing w:before="60" w:after="60" w:line="360" w:lineRule="exact"/>
        <w:ind w:firstLine="720"/>
        <w:jc w:val="both"/>
        <w:rPr>
          <w:rFonts w:ascii="Times New Roman" w:hAnsi="Times New Roman" w:cs="Times New Roman"/>
          <w:noProof/>
          <w:sz w:val="28"/>
          <w:szCs w:val="28"/>
          <w:lang w:val="vi-VN"/>
        </w:rPr>
      </w:pPr>
      <w:r w:rsidRPr="00D67146">
        <w:rPr>
          <w:rFonts w:ascii="Times New Roman" w:hAnsi="Times New Roman" w:cs="Times New Roman"/>
          <w:noProof/>
          <w:sz w:val="28"/>
          <w:szCs w:val="28"/>
          <w:lang w:val="vi-VN"/>
        </w:rPr>
        <w:t xml:space="preserve">(iv) Tăng </w:t>
      </w:r>
      <w:r w:rsidR="005356DA" w:rsidRPr="00DD4289">
        <w:rPr>
          <w:rFonts w:ascii="Times New Roman" w:hAnsi="Times New Roman" w:cs="Times New Roman"/>
          <w:noProof/>
          <w:sz w:val="28"/>
          <w:szCs w:val="28"/>
          <w:lang w:val="vi-VN"/>
        </w:rPr>
        <w:t xml:space="preserve">cường năng lực số, đẩy nhanh xây dựng số hóa tài nguyên văn hóa ngôn ngữ, ứng dụng số hóa thành quả văn hóa ngôn ngữ. </w:t>
      </w:r>
    </w:p>
    <w:p w14:paraId="30179391" w14:textId="77777777" w:rsidR="006955EE" w:rsidRPr="00D67146" w:rsidRDefault="006955EE" w:rsidP="00DD4289">
      <w:pPr>
        <w:spacing w:before="60" w:after="60" w:line="360" w:lineRule="exact"/>
        <w:ind w:firstLine="720"/>
        <w:jc w:val="both"/>
        <w:rPr>
          <w:rFonts w:ascii="Times New Roman" w:hAnsi="Times New Roman" w:cs="Times New Roman"/>
          <w:noProof/>
          <w:sz w:val="28"/>
          <w:szCs w:val="28"/>
          <w:lang w:val="vi-VN"/>
        </w:rPr>
      </w:pPr>
      <w:r w:rsidRPr="00D67146">
        <w:rPr>
          <w:rFonts w:ascii="Times New Roman" w:hAnsi="Times New Roman" w:cs="Times New Roman"/>
          <w:noProof/>
          <w:sz w:val="28"/>
          <w:szCs w:val="28"/>
          <w:lang w:val="vi-VN"/>
        </w:rPr>
        <w:t xml:space="preserve">(v) Xây </w:t>
      </w:r>
      <w:r w:rsidR="005356DA" w:rsidRPr="00DD4289">
        <w:rPr>
          <w:rFonts w:ascii="Times New Roman" w:hAnsi="Times New Roman" w:cs="Times New Roman"/>
          <w:noProof/>
          <w:sz w:val="28"/>
          <w:szCs w:val="28"/>
          <w:lang w:val="vi-VN"/>
        </w:rPr>
        <w:t xml:space="preserve">dựng đội ngũ nhân tài mạnh; tăng cường xây dựng chuyên ngành ngôn ngữ; tập hợp, bồi dưỡng, xây dựng đội ngũ nhân tài văn hóa ngôn ngữ mạnh. </w:t>
      </w:r>
    </w:p>
    <w:p w14:paraId="16ED4AC9" w14:textId="77777777" w:rsidR="006955EE" w:rsidRPr="00D67146" w:rsidRDefault="006955EE" w:rsidP="00DD4289">
      <w:pPr>
        <w:spacing w:before="60" w:after="60" w:line="360" w:lineRule="exact"/>
        <w:ind w:firstLine="720"/>
        <w:jc w:val="both"/>
        <w:rPr>
          <w:rFonts w:ascii="Times New Roman" w:hAnsi="Times New Roman" w:cs="Times New Roman"/>
          <w:noProof/>
          <w:sz w:val="28"/>
          <w:szCs w:val="28"/>
          <w:lang w:val="vi-VN"/>
        </w:rPr>
      </w:pPr>
      <w:r w:rsidRPr="00D67146">
        <w:rPr>
          <w:rFonts w:ascii="Times New Roman" w:hAnsi="Times New Roman" w:cs="Times New Roman"/>
          <w:noProof/>
          <w:sz w:val="28"/>
          <w:szCs w:val="28"/>
          <w:lang w:val="vi-VN"/>
        </w:rPr>
        <w:t xml:space="preserve">(vi) Tăng </w:t>
      </w:r>
      <w:r w:rsidR="005356DA" w:rsidRPr="00DD4289">
        <w:rPr>
          <w:rFonts w:ascii="Times New Roman" w:hAnsi="Times New Roman" w:cs="Times New Roman"/>
          <w:noProof/>
          <w:sz w:val="28"/>
          <w:szCs w:val="28"/>
          <w:lang w:val="vi-VN"/>
        </w:rPr>
        <w:t xml:space="preserve">cường quảng bá truyền thông, đẩy nhanh xây dựng hệ thống truyền thông văn hóa ngôn ngữ, tăng cường sức hút, sức lan tỏa và ảnh hưởng của văn hóa ngôn ngữ ưu tú Trung Hoa. </w:t>
      </w:r>
    </w:p>
    <w:p w14:paraId="5672E372" w14:textId="77777777" w:rsidR="006955EE" w:rsidRPr="00D67146" w:rsidRDefault="006955EE"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67146">
        <w:rPr>
          <w:rFonts w:ascii="Times New Roman" w:hAnsi="Times New Roman" w:cs="Times New Roman"/>
          <w:noProof/>
          <w:sz w:val="28"/>
          <w:szCs w:val="28"/>
          <w:lang w:val="vi-VN"/>
        </w:rPr>
        <w:t xml:space="preserve">(vii) Thúc </w:t>
      </w:r>
      <w:r w:rsidR="005356DA" w:rsidRPr="00DD4289">
        <w:rPr>
          <w:rFonts w:ascii="Times New Roman" w:hAnsi="Times New Roman" w:cs="Times New Roman"/>
          <w:noProof/>
          <w:sz w:val="28"/>
          <w:szCs w:val="28"/>
          <w:lang w:val="vi-VN"/>
        </w:rPr>
        <w:t>đẩy hợp tác giao lưu, xây dựng thương hiệu giao lưu văn hóa ngôn ngữ ưu tú Trung Hoa, tạo ra những điểm sáng hợp tác văn hóa ngôn ngữ mới.</w:t>
      </w:r>
    </w:p>
    <w:p w14:paraId="21F31FB5" w14:textId="74B1BA7E" w:rsidR="005D7D06" w:rsidRPr="00DD4289" w:rsidRDefault="006955EE" w:rsidP="00DD4289">
      <w:pPr>
        <w:spacing w:before="60" w:after="60" w:line="360" w:lineRule="exact"/>
        <w:ind w:firstLine="720"/>
        <w:jc w:val="both"/>
        <w:rPr>
          <w:rFonts w:ascii="Times New Roman" w:eastAsia="Microsoft YaHei" w:hAnsi="Times New Roman" w:cs="Times New Roman"/>
          <w:color w:val="262626"/>
          <w:sz w:val="28"/>
          <w:szCs w:val="28"/>
          <w:lang w:val="vi-VN"/>
        </w:rPr>
      </w:pPr>
      <w:r w:rsidRPr="00D67146">
        <w:rPr>
          <w:rFonts w:ascii="Times New Roman" w:eastAsia="Microsoft YaHei" w:hAnsi="Times New Roman" w:cs="Times New Roman"/>
          <w:b/>
          <w:color w:val="262626"/>
          <w:sz w:val="28"/>
          <w:szCs w:val="28"/>
          <w:lang w:val="vi-VN"/>
        </w:rPr>
        <w:t>12.</w:t>
      </w:r>
      <w:r w:rsidRPr="00D67146">
        <w:rPr>
          <w:rFonts w:ascii="Times New Roman" w:eastAsia="Microsoft YaHei" w:hAnsi="Times New Roman" w:cs="Times New Roman"/>
          <w:color w:val="262626"/>
          <w:sz w:val="28"/>
          <w:szCs w:val="28"/>
          <w:lang w:val="vi-VN"/>
        </w:rPr>
        <w:t xml:space="preserve"> </w:t>
      </w:r>
      <w:r w:rsidR="005D7D06" w:rsidRPr="00DD4289">
        <w:rPr>
          <w:rFonts w:ascii="Times New Roman" w:hAnsi="Times New Roman" w:cs="Times New Roman"/>
          <w:b/>
          <w:bCs/>
          <w:noProof/>
          <w:sz w:val="28"/>
          <w:szCs w:val="28"/>
          <w:lang w:val="vi-VN"/>
        </w:rPr>
        <w:t>Trung Quốc mở thêm cửa hàng miễn thuế tại 41 cửa khẩu</w:t>
      </w:r>
      <w:r w:rsidR="005D7D06" w:rsidRPr="00DD4289">
        <w:rPr>
          <w:rFonts w:ascii="Times New Roman" w:hAnsi="Times New Roman" w:cs="Times New Roman"/>
          <w:b/>
          <w:bCs/>
          <w:sz w:val="28"/>
          <w:szCs w:val="28"/>
          <w:lang w:val="vi-VN"/>
        </w:rPr>
        <w:t xml:space="preserve"> </w:t>
      </w:r>
    </w:p>
    <w:p w14:paraId="07143567" w14:textId="4C82F592" w:rsidR="005D7D06" w:rsidRPr="00FC563B" w:rsidRDefault="005D7D06" w:rsidP="00DD4289">
      <w:pPr>
        <w:spacing w:before="60" w:after="60" w:line="360" w:lineRule="exact"/>
        <w:ind w:firstLine="720"/>
        <w:jc w:val="both"/>
        <w:rPr>
          <w:rFonts w:ascii="Times New Roman" w:hAnsi="Times New Roman" w:cs="Times New Roman"/>
          <w:noProof/>
          <w:sz w:val="28"/>
          <w:szCs w:val="28"/>
          <w:lang w:val="vi-VN"/>
        </w:rPr>
      </w:pPr>
      <w:r w:rsidRPr="00DD4289">
        <w:rPr>
          <w:rFonts w:ascii="Times New Roman" w:hAnsi="Times New Roman" w:cs="Times New Roman"/>
          <w:noProof/>
          <w:sz w:val="28"/>
          <w:szCs w:val="28"/>
          <w:lang w:val="vi-VN"/>
        </w:rPr>
        <w:t>Ngày 21/01</w:t>
      </w:r>
      <w:r w:rsidR="006955EE" w:rsidRPr="00DD4289">
        <w:rPr>
          <w:rFonts w:ascii="Times New Roman" w:hAnsi="Times New Roman" w:cs="Times New Roman"/>
          <w:noProof/>
          <w:sz w:val="28"/>
          <w:szCs w:val="28"/>
          <w:lang w:val="vi-VN"/>
        </w:rPr>
        <w:t>/2026</w:t>
      </w:r>
      <w:r w:rsidRPr="00DD4289">
        <w:rPr>
          <w:rFonts w:ascii="Times New Roman" w:hAnsi="Times New Roman" w:cs="Times New Roman"/>
          <w:noProof/>
          <w:sz w:val="28"/>
          <w:szCs w:val="28"/>
          <w:lang w:val="vi-VN"/>
        </w:rPr>
        <w:t>, Bộ Tài chính Trung Quốc cùng 4 bộ ban ngành khác đã cùng ban hành thông báo cho biết, sẽ mở thêm cửa hàng miễn thuế nhập cảnh tại 41 cửa khẩu trên cả nước, bao gồm các sân bay, cảng biển và cửa khẩu đường bộ. Các cửa hàng này sẽ được đặt trong các cửa khẩu và chỉ phục vụ hành khách quốc tế nhập cảnh, cung cấp hàng hóa miễn thuế ngay khi họ vừa đặt chân đến Trung Quốc. Động thái này được các chuyên gia đánh giá sẽ trực tiếp thúc đẩy tiêu dùng và hỗ trợ sự tăng trưởng bền vững của ngành bán lẻ miễn thuế.</w:t>
      </w:r>
    </w:p>
    <w:p w14:paraId="67F4F506" w14:textId="77777777" w:rsidR="00D90C9F" w:rsidRPr="00FC563B" w:rsidRDefault="00D90C9F" w:rsidP="00DD4289">
      <w:pPr>
        <w:spacing w:before="60" w:after="60" w:line="360" w:lineRule="exact"/>
        <w:ind w:firstLine="720"/>
        <w:jc w:val="both"/>
        <w:rPr>
          <w:rFonts w:ascii="Times New Roman" w:hAnsi="Times New Roman" w:cs="Times New Roman"/>
          <w:noProof/>
          <w:sz w:val="28"/>
          <w:szCs w:val="28"/>
          <w:lang w:val="vi-VN"/>
        </w:rPr>
      </w:pPr>
    </w:p>
    <w:p w14:paraId="70C86AE8" w14:textId="1A0022B6" w:rsidR="00CC1482" w:rsidRPr="00D67146" w:rsidRDefault="005F7EB6" w:rsidP="00DD4289">
      <w:pPr>
        <w:shd w:val="clear" w:color="auto" w:fill="FFFFFF"/>
        <w:adjustRightInd w:val="0"/>
        <w:snapToGrid w:val="0"/>
        <w:spacing w:before="60" w:after="60" w:line="360" w:lineRule="exact"/>
        <w:ind w:firstLine="720"/>
        <w:jc w:val="both"/>
        <w:outlineLvl w:val="0"/>
        <w:rPr>
          <w:rFonts w:ascii="Times New Roman" w:hAnsi="Times New Roman" w:cs="Times New Roman"/>
          <w:b/>
          <w:color w:val="000000" w:themeColor="text1"/>
          <w:sz w:val="28"/>
          <w:szCs w:val="28"/>
          <w:lang w:val="vi-VN"/>
        </w:rPr>
      </w:pPr>
      <w:r w:rsidRPr="00DD4289">
        <w:rPr>
          <w:rFonts w:ascii="Times New Roman" w:hAnsi="Times New Roman" w:cs="Times New Roman"/>
          <w:b/>
          <w:color w:val="000000" w:themeColor="text1"/>
          <w:sz w:val="28"/>
          <w:szCs w:val="28"/>
          <w:lang w:val="vi-VN"/>
        </w:rPr>
        <w:lastRenderedPageBreak/>
        <w:t xml:space="preserve">VI. </w:t>
      </w:r>
      <w:r w:rsidR="005300E2" w:rsidRPr="00DD4289">
        <w:rPr>
          <w:rFonts w:ascii="Times New Roman" w:hAnsi="Times New Roman" w:cs="Times New Roman"/>
          <w:b/>
          <w:color w:val="000000" w:themeColor="text1"/>
          <w:sz w:val="28"/>
          <w:szCs w:val="28"/>
          <w:lang w:val="vi-VN"/>
        </w:rPr>
        <w:t xml:space="preserve">Đánh giá sở tại về kinh tế Việt Nam </w:t>
      </w:r>
    </w:p>
    <w:p w14:paraId="71109A5C" w14:textId="00B8D43B" w:rsidR="00781FF4" w:rsidRPr="00AB0AC8" w:rsidRDefault="00781FF4" w:rsidP="00DD4289">
      <w:pPr>
        <w:shd w:val="clear" w:color="auto" w:fill="FFFFFF"/>
        <w:adjustRightInd w:val="0"/>
        <w:snapToGrid w:val="0"/>
        <w:spacing w:before="60" w:after="60" w:line="360" w:lineRule="exact"/>
        <w:ind w:firstLine="720"/>
        <w:jc w:val="both"/>
        <w:outlineLvl w:val="0"/>
        <w:rPr>
          <w:rFonts w:ascii="Times New Roman" w:hAnsi="Times New Roman" w:cs="Times New Roman"/>
          <w:b/>
          <w:color w:val="000000" w:themeColor="text1"/>
          <w:sz w:val="28"/>
          <w:szCs w:val="28"/>
          <w:lang w:val="vi-VN"/>
        </w:rPr>
      </w:pPr>
      <w:r w:rsidRPr="00D67146">
        <w:rPr>
          <w:rFonts w:ascii="Times New Roman" w:hAnsi="Times New Roman" w:cs="Times New Roman"/>
          <w:b/>
          <w:color w:val="000000" w:themeColor="text1"/>
          <w:sz w:val="28"/>
          <w:szCs w:val="28"/>
          <w:lang w:val="vi-VN"/>
        </w:rPr>
        <w:t xml:space="preserve">1. </w:t>
      </w:r>
      <w:r w:rsidR="0090090F" w:rsidRPr="00AB0AC8">
        <w:rPr>
          <w:rFonts w:ascii="Times New Roman" w:hAnsi="Times New Roman" w:cs="Times New Roman"/>
          <w:b/>
          <w:color w:val="000000" w:themeColor="text1"/>
          <w:sz w:val="28"/>
          <w:szCs w:val="28"/>
          <w:lang w:val="vi-VN"/>
        </w:rPr>
        <w:t>Đánh giá chung</w:t>
      </w:r>
    </w:p>
    <w:p w14:paraId="47F4AB4B" w14:textId="77777777" w:rsidR="00781FF4" w:rsidRPr="00DD4289" w:rsidRDefault="00781FF4" w:rsidP="00DD4289">
      <w:pPr>
        <w:shd w:val="clear" w:color="auto" w:fill="FFFFFF"/>
        <w:adjustRightInd w:val="0"/>
        <w:snapToGrid w:val="0"/>
        <w:spacing w:before="60" w:after="60" w:line="360" w:lineRule="exact"/>
        <w:ind w:firstLine="720"/>
        <w:jc w:val="both"/>
        <w:outlineLvl w:val="0"/>
        <w:rPr>
          <w:rFonts w:ascii="Times New Roman" w:hAnsi="Times New Roman" w:cs="Times New Roman"/>
          <w:sz w:val="28"/>
          <w:szCs w:val="28"/>
          <w:lang w:val="vi-VN"/>
        </w:rPr>
      </w:pPr>
      <w:r w:rsidRPr="00DD4289">
        <w:rPr>
          <w:rFonts w:ascii="Times New Roman" w:hAnsi="Times New Roman" w:cs="Times New Roman"/>
          <w:sz w:val="28"/>
          <w:szCs w:val="28"/>
          <w:lang w:val="vi-VN"/>
        </w:rPr>
        <w:t>Các chuyên gia, học giả và truyền thông Trung Quốc tiếp tục đánh giá Việt Nam là một trong những nền kinh tế năng động của khu vực, duy trì tốc độ tăng trưởng ấn tượng. Năm 2025, GDP Việt Nam đạt 514 tỷ USD, tăng 8,02%, trở thành quốc gia tăng trưởng nhanh nhất châu Á, vượt Ấn Độ (7%) và Trung Quốc (5%). GDP bình quân đầu người đạt 5.026 USD, tăng 1,4 lần so với năm 2020, đưa Việt Nam vào nhóm nước có thu nhập trung bình cao. Xuất khẩu đạt 4.750 tỷ USD, tổng thương mại vượt 9.300 tỷ USD, trong đó nông sản xuất khẩu lần đầu vượt 700 tỷ USD. Thu hút FDI đạt 38,42 tỷ USD, trong đó tổng vốn FDI thực hiện 27,62 tỷ USD, cao nhất trong 5 năm gần đây. Dư luận Trung Quốc nhận định các ngành chế biến công nghiệp, công nghệ, cơ sở hạ tầng và bất động sản là động lực tăng trưởng chính, cùng với cải cách hành chính và phát triển khu vực tư nhân.</w:t>
      </w:r>
    </w:p>
    <w:p w14:paraId="61B9CE2F" w14:textId="77777777" w:rsidR="00D72FCE" w:rsidRPr="00DD4289" w:rsidRDefault="00781FF4" w:rsidP="00DD4289">
      <w:pPr>
        <w:shd w:val="clear" w:color="auto" w:fill="FFFFFF"/>
        <w:adjustRightInd w:val="0"/>
        <w:snapToGrid w:val="0"/>
        <w:spacing w:before="60" w:after="60" w:line="360" w:lineRule="exact"/>
        <w:ind w:firstLine="720"/>
        <w:jc w:val="both"/>
        <w:outlineLvl w:val="0"/>
        <w:rPr>
          <w:rFonts w:ascii="Times New Roman" w:hAnsi="Times New Roman" w:cs="Times New Roman"/>
          <w:b/>
          <w:sz w:val="28"/>
          <w:szCs w:val="28"/>
          <w:lang w:val="vi-VN"/>
        </w:rPr>
      </w:pPr>
      <w:r w:rsidRPr="00DD4289">
        <w:rPr>
          <w:rFonts w:ascii="Times New Roman" w:hAnsi="Times New Roman" w:cs="Times New Roman"/>
          <w:b/>
          <w:sz w:val="28"/>
          <w:szCs w:val="28"/>
          <w:lang w:val="vi-VN"/>
        </w:rPr>
        <w:t xml:space="preserve">2. Về mục tiêu tăng trưởng GDP của Việt Nam </w:t>
      </w:r>
    </w:p>
    <w:p w14:paraId="32A62698" w14:textId="011A7F16" w:rsidR="00781FF4" w:rsidRPr="00DD4289" w:rsidRDefault="00D72FCE" w:rsidP="00DD4289">
      <w:pPr>
        <w:shd w:val="clear" w:color="auto" w:fill="FFFFFF"/>
        <w:adjustRightInd w:val="0"/>
        <w:snapToGrid w:val="0"/>
        <w:spacing w:before="60" w:after="60" w:line="360" w:lineRule="exact"/>
        <w:ind w:firstLine="720"/>
        <w:jc w:val="both"/>
        <w:outlineLvl w:val="0"/>
        <w:rPr>
          <w:rFonts w:ascii="Times New Roman" w:hAnsi="Times New Roman" w:cs="Times New Roman"/>
          <w:b/>
          <w:sz w:val="28"/>
          <w:szCs w:val="28"/>
          <w:lang w:val="vi-VN"/>
        </w:rPr>
      </w:pPr>
      <w:r w:rsidRPr="00DD4289">
        <w:rPr>
          <w:rFonts w:ascii="Times New Roman" w:hAnsi="Times New Roman" w:cs="Times New Roman"/>
          <w:b/>
          <w:sz w:val="28"/>
          <w:szCs w:val="28"/>
          <w:lang w:val="vi-VN"/>
        </w:rPr>
        <w:t xml:space="preserve">2.1. </w:t>
      </w:r>
      <w:r w:rsidR="00781FF4" w:rsidRPr="00DD4289">
        <w:rPr>
          <w:rFonts w:ascii="Times New Roman" w:hAnsi="Times New Roman" w:cs="Times New Roman"/>
          <w:sz w:val="28"/>
          <w:szCs w:val="28"/>
          <w:lang w:val="vi-VN"/>
        </w:rPr>
        <w:t>Mạng Võng dịch có bài viết đánh giá việc Việt Nam đề ra mục tiêu tăng trưởng GDP 10% như trên xuất phát từ các cơ sở sau:</w:t>
      </w:r>
    </w:p>
    <w:p w14:paraId="2B2365C5" w14:textId="708A2457" w:rsidR="00781FF4" w:rsidRPr="00D67146" w:rsidRDefault="00781FF4" w:rsidP="00DD4289">
      <w:pPr>
        <w:spacing w:before="60" w:after="60" w:line="360" w:lineRule="exact"/>
        <w:ind w:firstLine="720"/>
        <w:jc w:val="both"/>
        <w:rPr>
          <w:rFonts w:ascii="Times New Roman" w:hAnsi="Times New Roman" w:cs="Times New Roman"/>
          <w:sz w:val="28"/>
          <w:szCs w:val="28"/>
          <w:lang w:val="vi-VN"/>
        </w:rPr>
      </w:pPr>
      <w:r w:rsidRPr="00D67146">
        <w:rPr>
          <w:rFonts w:ascii="Times New Roman" w:hAnsi="Times New Roman" w:cs="Times New Roman"/>
          <w:i/>
          <w:sz w:val="28"/>
          <w:szCs w:val="28"/>
          <w:lang w:val="vi-VN"/>
        </w:rPr>
        <w:t>Thứ nhất,</w:t>
      </w:r>
      <w:r w:rsidRPr="00D67146">
        <w:rPr>
          <w:rFonts w:ascii="Times New Roman" w:hAnsi="Times New Roman" w:cs="Times New Roman"/>
          <w:sz w:val="28"/>
          <w:szCs w:val="28"/>
          <w:lang w:val="vi-VN"/>
        </w:rPr>
        <w:t xml:space="preserve"> dựa trên hiệu quả rõ rệt của cải cách cơ chế, thể chế chính trị. Năm 2025, Việt Nam đã sáp nhập 63 đơn vị hành chính cấp tỉnh xuống còn 34, giải thể cấp huyện, cắt giảm khoảng 70% đơn vị hành chính cấp xã; xóa bỏ 100% tổng cục, giảm hơn 1.000 đơn vị cấp vụ/cục, tinh giản khoảng 145.000 biên chế, góp phần nâng cao hiệu quả quản lý và phát triển kinh tế - xã hội. </w:t>
      </w:r>
    </w:p>
    <w:p w14:paraId="0803F429" w14:textId="77777777" w:rsidR="00781FF4" w:rsidRPr="00D67146" w:rsidRDefault="00781FF4" w:rsidP="00DD4289">
      <w:pPr>
        <w:spacing w:before="60" w:after="60" w:line="360" w:lineRule="exact"/>
        <w:ind w:firstLine="720"/>
        <w:jc w:val="both"/>
        <w:rPr>
          <w:rFonts w:ascii="Times New Roman" w:hAnsi="Times New Roman" w:cs="Times New Roman"/>
          <w:sz w:val="28"/>
          <w:szCs w:val="28"/>
          <w:lang w:val="vi-VN"/>
        </w:rPr>
      </w:pPr>
      <w:r w:rsidRPr="00D67146">
        <w:rPr>
          <w:rFonts w:ascii="Times New Roman" w:hAnsi="Times New Roman" w:cs="Times New Roman"/>
          <w:i/>
          <w:sz w:val="28"/>
          <w:szCs w:val="28"/>
          <w:lang w:val="vi-VN"/>
        </w:rPr>
        <w:t>Thứ hai,</w:t>
      </w:r>
      <w:r w:rsidRPr="00D67146">
        <w:rPr>
          <w:rFonts w:ascii="Times New Roman" w:hAnsi="Times New Roman" w:cs="Times New Roman"/>
          <w:sz w:val="28"/>
          <w:szCs w:val="28"/>
          <w:lang w:val="vi-VN"/>
        </w:rPr>
        <w:t xml:space="preserve"> dựa trên các yếu tố thuận lợi như dịch chuyển chuỗi ngành nghề toàn cầu. Trong bối cảnh cạnh tranh giữa các cường quốc ngày càng gay gắt, Việt Nam dựa vào “ngoại giao cây tre”, vừa tiếp nhận chuyển dịch sản xuất từ Trung Quốc, vừa duy trì ưu thế xuất khẩu sang Mỹ. Những năm gần đây, Việt Nam đã thu hút thành công các tập đoàn công nghệ hàng đầu thế giới như Samsung, Amkor, NVIDIA đầu tư vào lĩnh vực bán dẫn và trí tuệ nhân tạo; các ngành lắp ráp điện tử, linh kiện năng lượng mới, điện tử tiêu dùng, gia dụng phát triển mạnh, góp phần củng cố và nâng cấp vị thế “công xưởng của thế giới”. Năm 2025, tăng trưởng GDP đạt 8,02%, vốn FDI đổ vào mạnh mẽ, các ngành logistics, năng lượng, tiêu dùng phát triển sôi động.</w:t>
      </w:r>
    </w:p>
    <w:p w14:paraId="1ABA8836" w14:textId="77777777" w:rsidR="00781FF4" w:rsidRPr="00D67146" w:rsidRDefault="00781FF4" w:rsidP="00DD4289">
      <w:pPr>
        <w:spacing w:before="60" w:after="60" w:line="360" w:lineRule="exact"/>
        <w:ind w:firstLine="720"/>
        <w:jc w:val="both"/>
        <w:rPr>
          <w:rFonts w:ascii="Times New Roman" w:hAnsi="Times New Roman" w:cs="Times New Roman"/>
          <w:sz w:val="28"/>
          <w:szCs w:val="28"/>
          <w:lang w:val="vi-VN"/>
        </w:rPr>
      </w:pPr>
      <w:r w:rsidRPr="00D67146">
        <w:rPr>
          <w:rFonts w:ascii="Times New Roman" w:hAnsi="Times New Roman" w:cs="Times New Roman"/>
          <w:i/>
          <w:sz w:val="28"/>
          <w:szCs w:val="28"/>
          <w:lang w:val="vi-VN"/>
        </w:rPr>
        <w:t xml:space="preserve">Thứ ba, </w:t>
      </w:r>
      <w:r w:rsidRPr="00D67146">
        <w:rPr>
          <w:rFonts w:ascii="Times New Roman" w:hAnsi="Times New Roman" w:cs="Times New Roman"/>
          <w:sz w:val="28"/>
          <w:szCs w:val="28"/>
          <w:lang w:val="vi-VN"/>
        </w:rPr>
        <w:t xml:space="preserve">dựa trên hạ tầng ngày càng hoàn thiện. Trong nhiệm kỳ Đại hội XIII, Việt Nam đã xây dựng 3.345 km đường cao tốc và hơn 1.700 km đường ven biển, hình thành trục xương sống Bắc - Nam; từng bước hoàn thiện mạng viễn thông, hạ tầng số và các hạ tầng kinh tế trọng yếu khác. Đến cuối năm 2025, Việt Nam đồng loạt khởi công hoặc khánh thành 234 dự án trọng điểm, bao gồm đường sắt, cảng biển, sân bay, tổ hợp đô thị, với tổng vốn đầu tư vượt </w:t>
      </w:r>
      <w:r w:rsidRPr="00D67146">
        <w:rPr>
          <w:rFonts w:ascii="Times New Roman" w:hAnsi="Times New Roman" w:cs="Times New Roman"/>
          <w:sz w:val="28"/>
          <w:szCs w:val="28"/>
          <w:lang w:val="vi-VN"/>
        </w:rPr>
        <w:lastRenderedPageBreak/>
        <w:t>129 tỷ USD. Từ năm nay, xây dựng hạ tầng sẽ bước vào giai đoạn cao điểm, trực tiếp thúc đẩy đầu tư, mua sắm và việc làm.</w:t>
      </w:r>
    </w:p>
    <w:p w14:paraId="010845C1" w14:textId="77777777" w:rsidR="00781FF4" w:rsidRPr="00D67146" w:rsidRDefault="00781FF4" w:rsidP="00DD4289">
      <w:pPr>
        <w:spacing w:before="60" w:after="60" w:line="360" w:lineRule="exact"/>
        <w:ind w:firstLine="720"/>
        <w:jc w:val="both"/>
        <w:rPr>
          <w:rFonts w:ascii="Times New Roman" w:hAnsi="Times New Roman" w:cs="Times New Roman"/>
          <w:sz w:val="28"/>
          <w:szCs w:val="28"/>
          <w:lang w:val="vi-VN"/>
        </w:rPr>
      </w:pPr>
      <w:r w:rsidRPr="00D67146">
        <w:rPr>
          <w:rFonts w:ascii="Times New Roman" w:hAnsi="Times New Roman" w:cs="Times New Roman"/>
          <w:i/>
          <w:sz w:val="28"/>
          <w:szCs w:val="28"/>
          <w:lang w:val="vi-VN"/>
        </w:rPr>
        <w:t>Thứ tư,</w:t>
      </w:r>
      <w:r w:rsidRPr="00D67146">
        <w:rPr>
          <w:rFonts w:ascii="Times New Roman" w:hAnsi="Times New Roman" w:cs="Times New Roman"/>
          <w:sz w:val="28"/>
          <w:szCs w:val="28"/>
          <w:lang w:val="vi-VN"/>
        </w:rPr>
        <w:t xml:space="preserve"> dựa trên lợi thế dân số và động lực từ nhu cầu trong nước. Việt Nam có dân số khoảng 100 triệu người, trong 10-15 năm tới, lực lượng lao động trẻ kết hợp với chuyển đổi số sẽ thúc đẩy năng suất tăng vọt; dư địa đô thị hóa còn rất lớn. GDP bình quân đầu người năm 2025 đã vượt 5.000 USD, lạm phát được kiểm soát dưới 4%, kích thích thị trường tiêu dùng trung cấp như ô tô, nhà ở, đồ gia dụng, thiết bị viễn thông. Chính sách tiền tệ tương đối nới lỏng, tiếp tục tăng cường hỗ trợ tài chính cho khu vực kinh tế thực. Tất cả tạo nên niềm tin và nền tảng cho mục tiêu tăng trưởng 10% GDP.</w:t>
      </w:r>
    </w:p>
    <w:p w14:paraId="0A1BF811" w14:textId="4C36C004" w:rsidR="00D5486F" w:rsidRPr="00D67146" w:rsidRDefault="00D72FCE" w:rsidP="00DD4289">
      <w:pPr>
        <w:spacing w:before="60" w:after="60" w:line="360" w:lineRule="exact"/>
        <w:ind w:firstLine="720"/>
        <w:jc w:val="both"/>
        <w:rPr>
          <w:rFonts w:ascii="Times New Roman" w:hAnsi="Times New Roman" w:cs="Times New Roman"/>
          <w:sz w:val="28"/>
          <w:szCs w:val="28"/>
          <w:lang w:val="vi-VN"/>
        </w:rPr>
      </w:pPr>
      <w:r w:rsidRPr="00D67146">
        <w:rPr>
          <w:rFonts w:ascii="Times New Roman" w:hAnsi="Times New Roman" w:cs="Times New Roman"/>
          <w:b/>
          <w:sz w:val="28"/>
          <w:szCs w:val="28"/>
          <w:lang w:val="vi-VN"/>
        </w:rPr>
        <w:t xml:space="preserve">2.1. </w:t>
      </w:r>
      <w:r w:rsidRPr="00D67146">
        <w:rPr>
          <w:rFonts w:ascii="Times New Roman" w:hAnsi="Times New Roman" w:cs="Times New Roman"/>
          <w:sz w:val="28"/>
          <w:szCs w:val="28"/>
          <w:lang w:val="vi-VN"/>
        </w:rPr>
        <w:t xml:space="preserve">Phân tích về </w:t>
      </w:r>
      <w:r w:rsidR="00781FF4" w:rsidRPr="00D67146">
        <w:rPr>
          <w:rFonts w:ascii="Times New Roman" w:hAnsi="Times New Roman" w:cs="Times New Roman"/>
          <w:sz w:val="28"/>
          <w:szCs w:val="28"/>
          <w:lang w:val="vi-VN"/>
        </w:rPr>
        <w:t>mục tiêu tăng trưởng của Việt Nam sau Đại hội XIV</w:t>
      </w:r>
      <w:r w:rsidRPr="00D67146">
        <w:rPr>
          <w:rFonts w:ascii="Times New Roman" w:hAnsi="Times New Roman" w:cs="Times New Roman"/>
          <w:sz w:val="28"/>
          <w:szCs w:val="28"/>
          <w:lang w:val="vi-VN"/>
        </w:rPr>
        <w:t xml:space="preserve">, bà </w:t>
      </w:r>
      <w:r w:rsidR="00781FF4" w:rsidRPr="00D67146">
        <w:rPr>
          <w:rFonts w:ascii="Times New Roman" w:hAnsi="Times New Roman" w:cs="Times New Roman"/>
          <w:sz w:val="28"/>
          <w:szCs w:val="28"/>
          <w:lang w:val="vi-VN"/>
        </w:rPr>
        <w:t>Lưu Anh, Viện Nghiên cứu Tài chính Trùng Dương thuộc Đại học Nhân dân Trung Quố</w:t>
      </w:r>
      <w:r w:rsidR="00D5486F" w:rsidRPr="00D67146">
        <w:rPr>
          <w:rFonts w:ascii="Times New Roman" w:hAnsi="Times New Roman" w:cs="Times New Roman"/>
          <w:sz w:val="28"/>
          <w:szCs w:val="28"/>
          <w:lang w:val="vi-VN"/>
        </w:rPr>
        <w:t xml:space="preserve">c đã đưa ra những ý kiến như sau: </w:t>
      </w:r>
    </w:p>
    <w:p w14:paraId="35430906" w14:textId="7D5AE11D" w:rsidR="00781FF4" w:rsidRPr="00D67146" w:rsidRDefault="00D5486F" w:rsidP="00DD4289">
      <w:pPr>
        <w:spacing w:before="60" w:after="60" w:line="360" w:lineRule="exact"/>
        <w:ind w:firstLine="720"/>
        <w:jc w:val="both"/>
        <w:rPr>
          <w:rFonts w:ascii="Times New Roman" w:hAnsi="Times New Roman" w:cs="Times New Roman"/>
          <w:sz w:val="28"/>
          <w:szCs w:val="28"/>
          <w:lang w:val="vi-VN"/>
        </w:rPr>
      </w:pPr>
      <w:r w:rsidRPr="00D67146">
        <w:rPr>
          <w:rFonts w:ascii="Times New Roman" w:hAnsi="Times New Roman" w:cs="Times New Roman"/>
          <w:sz w:val="28"/>
          <w:szCs w:val="28"/>
          <w:lang w:val="vi-VN"/>
        </w:rPr>
        <w:t xml:space="preserve">(i) Trong </w:t>
      </w:r>
      <w:r w:rsidR="00781FF4" w:rsidRPr="00D67146">
        <w:rPr>
          <w:rFonts w:ascii="Times New Roman" w:hAnsi="Times New Roman" w:cs="Times New Roman"/>
          <w:sz w:val="28"/>
          <w:szCs w:val="28"/>
          <w:lang w:val="vi-VN"/>
        </w:rPr>
        <w:t>bối cảnh nhiều áp lực hiện nay của nền kinh tế toàn cầu, mục tiêu tăng trưởng GDP bình quân hàng năm khoảng 10% giai đoạn 2026-2030 của Việt Nam đối mặt với những thách thức đáng kể. Tuy nhiên, với nền tảng kinh tế hiện có và định hướng cải cách rõ ràng, Việt Nam vẫn có thể đạt được mục tiêu của mình nếu tiếp tục thúc đẩy hiệu quả các cải cách cơ cấu hệ thống và tăng cường đầu tư vào cơ sở hạ tầng.</w:t>
      </w:r>
    </w:p>
    <w:p w14:paraId="2CC56457" w14:textId="11613D8A" w:rsidR="00820D28" w:rsidRPr="00D67146" w:rsidRDefault="00D5486F" w:rsidP="00DD4289">
      <w:pPr>
        <w:spacing w:before="60" w:after="60" w:line="360" w:lineRule="exact"/>
        <w:ind w:firstLine="720"/>
        <w:jc w:val="both"/>
        <w:rPr>
          <w:rFonts w:ascii="Times New Roman" w:hAnsi="Times New Roman" w:cs="Times New Roman"/>
          <w:sz w:val="28"/>
          <w:szCs w:val="28"/>
          <w:lang w:val="vi-VN"/>
        </w:rPr>
      </w:pPr>
      <w:r w:rsidRPr="00D67146">
        <w:rPr>
          <w:rFonts w:ascii="Times New Roman" w:hAnsi="Times New Roman" w:cs="Times New Roman"/>
          <w:sz w:val="28"/>
          <w:szCs w:val="28"/>
          <w:lang w:val="vi-VN"/>
        </w:rPr>
        <w:t xml:space="preserve">(ii) </w:t>
      </w:r>
      <w:r w:rsidR="00781FF4" w:rsidRPr="00D67146">
        <w:rPr>
          <w:rFonts w:ascii="Times New Roman" w:hAnsi="Times New Roman" w:cs="Times New Roman"/>
          <w:sz w:val="28"/>
          <w:szCs w:val="28"/>
          <w:lang w:val="vi-VN"/>
        </w:rPr>
        <w:t xml:space="preserve">Việt Nam cần ưu tiên công nghiệp hóa và hiện đại hóa, </w:t>
      </w:r>
      <w:r w:rsidRPr="00D67146">
        <w:rPr>
          <w:rFonts w:ascii="Times New Roman" w:hAnsi="Times New Roman" w:cs="Times New Roman"/>
          <w:sz w:val="28"/>
          <w:szCs w:val="28"/>
          <w:lang w:val="vi-VN"/>
        </w:rPr>
        <w:t>đẩy nhanh việc thực hiện “Quy hoạch tổng thể quốc gia 2021-2030 và Tầm nhìn 2050”, đặc biệt tập trung vào hệ thống đường bộ, đường sắt cao tốc và vận tải đa phương thức đường biển - đường sắ</w:t>
      </w:r>
      <w:r w:rsidR="00CC05EE">
        <w:rPr>
          <w:rFonts w:ascii="Times New Roman" w:hAnsi="Times New Roman" w:cs="Times New Roman"/>
          <w:sz w:val="28"/>
          <w:szCs w:val="28"/>
          <w:lang w:val="vi-VN"/>
        </w:rPr>
        <w:t>t l</w:t>
      </w:r>
      <w:r w:rsidR="00CC05EE" w:rsidRPr="006064AA">
        <w:rPr>
          <w:rFonts w:ascii="Times New Roman" w:hAnsi="Times New Roman" w:cs="Times New Roman"/>
          <w:sz w:val="28"/>
          <w:szCs w:val="28"/>
          <w:lang w:val="vi-VN"/>
        </w:rPr>
        <w:t>iên thông</w:t>
      </w:r>
      <w:r w:rsidRPr="00D67146">
        <w:rPr>
          <w:rFonts w:ascii="Times New Roman" w:hAnsi="Times New Roman" w:cs="Times New Roman"/>
          <w:sz w:val="28"/>
          <w:szCs w:val="28"/>
          <w:lang w:val="vi-VN"/>
        </w:rPr>
        <w:t xml:space="preserve">. </w:t>
      </w:r>
      <w:r w:rsidR="00781FF4" w:rsidRPr="00D67146">
        <w:rPr>
          <w:rFonts w:ascii="Times New Roman" w:hAnsi="Times New Roman" w:cs="Times New Roman"/>
          <w:sz w:val="28"/>
          <w:szCs w:val="28"/>
          <w:lang w:val="vi-VN"/>
        </w:rPr>
        <w:t xml:space="preserve">Hiện nay, chi phí logistics của Việt Nam chiếm khoảng 16%-18% GDP, trong khi mức trung bình thế giới chỉ là 10,7%, và cao hơn nhiều nước ASEAN, điều này làm suy yếu khả năng cạnh tranh của các doanh nghiệp ở một mức độ nhất định. </w:t>
      </w:r>
    </w:p>
    <w:p w14:paraId="7D553F32" w14:textId="1A6C75CE" w:rsidR="00781FF4" w:rsidRPr="00D67146" w:rsidRDefault="00820D28" w:rsidP="00DD4289">
      <w:pPr>
        <w:spacing w:before="60" w:after="60" w:line="360" w:lineRule="exact"/>
        <w:ind w:firstLine="720"/>
        <w:jc w:val="both"/>
        <w:rPr>
          <w:rFonts w:ascii="Times New Roman" w:hAnsi="Times New Roman" w:cs="Times New Roman"/>
          <w:sz w:val="28"/>
          <w:szCs w:val="28"/>
          <w:lang w:val="vi-VN"/>
        </w:rPr>
      </w:pPr>
      <w:r w:rsidRPr="00D67146">
        <w:rPr>
          <w:rFonts w:ascii="Times New Roman" w:hAnsi="Times New Roman" w:cs="Times New Roman"/>
          <w:sz w:val="28"/>
          <w:szCs w:val="28"/>
          <w:lang w:val="vi-VN"/>
        </w:rPr>
        <w:t>(iii) K</w:t>
      </w:r>
      <w:r w:rsidR="00781FF4" w:rsidRPr="00D67146">
        <w:rPr>
          <w:rFonts w:ascii="Times New Roman" w:hAnsi="Times New Roman" w:cs="Times New Roman"/>
          <w:sz w:val="28"/>
          <w:szCs w:val="28"/>
          <w:lang w:val="vi-VN"/>
        </w:rPr>
        <w:t>hi thúc đẩy nâng cấp thị trường vốn, Việt Nam nên mở rộng các ưu đãi tài chính xanh. Hiện nay, tốc độ tăng trưởng dư nợ tín dụng xanh đã vượt tốc độ tăng trưởng tín dụng chung. Việc mở rộng chính sách trợ cấp lãi suất 2% cho các dự án xanh sẽ giúp xây dựng nền tảng giao dịch tín chỉ carbon và hướng nguồn vốn vào năng lượng tái tạo và kinh tế tuần hoàn.</w:t>
      </w:r>
    </w:p>
    <w:p w14:paraId="082D17E0" w14:textId="52B69E18" w:rsidR="00820D28" w:rsidRPr="00DD4289" w:rsidRDefault="00820D28" w:rsidP="00DD4289">
      <w:pPr>
        <w:spacing w:before="60" w:after="60" w:line="360" w:lineRule="exact"/>
        <w:ind w:firstLine="720"/>
        <w:jc w:val="both"/>
        <w:rPr>
          <w:rFonts w:ascii="Times New Roman" w:hAnsi="Times New Roman" w:cs="Times New Roman"/>
          <w:b/>
          <w:sz w:val="28"/>
          <w:szCs w:val="28"/>
        </w:rPr>
      </w:pPr>
      <w:r w:rsidRPr="00DD4289">
        <w:rPr>
          <w:rFonts w:ascii="Times New Roman" w:hAnsi="Times New Roman" w:cs="Times New Roman"/>
          <w:b/>
          <w:sz w:val="28"/>
          <w:szCs w:val="28"/>
        </w:rPr>
        <w:t xml:space="preserve">3. Quan hệ kinh tế Việt - Trung </w:t>
      </w:r>
    </w:p>
    <w:p w14:paraId="4D688F70" w14:textId="61D4B6BE" w:rsidR="00820D28" w:rsidRPr="00DD4289" w:rsidRDefault="00820D28" w:rsidP="00DD4289">
      <w:pPr>
        <w:spacing w:before="60" w:after="60" w:line="360" w:lineRule="exact"/>
        <w:ind w:firstLine="720"/>
        <w:jc w:val="both"/>
        <w:rPr>
          <w:rFonts w:ascii="Times New Roman" w:hAnsi="Times New Roman" w:cs="Times New Roman"/>
          <w:sz w:val="28"/>
          <w:szCs w:val="28"/>
        </w:rPr>
      </w:pPr>
      <w:r w:rsidRPr="00DD4289">
        <w:rPr>
          <w:rFonts w:ascii="Times New Roman" w:hAnsi="Times New Roman" w:cs="Times New Roman"/>
          <w:sz w:val="28"/>
          <w:szCs w:val="28"/>
        </w:rPr>
        <w:t xml:space="preserve">Bà Lưu Anh, Viện Nghiên cứu Tài chính Trùng Dương thuộc Đại học Nhân dân Trung Quốc chỉ ra rằng Trung Quốc và Việt Nam đang xây dựng cộng đồng chia sẻ tương lai có ý nghĩa chiến lược, tạo điều kiện thuận lợi cho việc tăng cường hợp tác kinh tế một cách toàn diện và có hệ thống. Hợp tác kinh tế Trung Quốc - Việt Nam có triển vọng rộng mở, tập trung vào bốn trụ cột: thương mại cân bằng, kết nối hạ tầng, hợp tác tài chính và hợp tác trong các lĩnh vực mới nổi. </w:t>
      </w:r>
    </w:p>
    <w:p w14:paraId="6236C08D" w14:textId="6985CDCB" w:rsidR="00424DE4" w:rsidRDefault="00820D28" w:rsidP="00424DE4">
      <w:pPr>
        <w:spacing w:before="60" w:after="60" w:line="360" w:lineRule="exact"/>
        <w:ind w:firstLine="720"/>
        <w:jc w:val="both"/>
        <w:rPr>
          <w:rFonts w:ascii="Times New Roman" w:hAnsi="Times New Roman" w:cs="Times New Roman"/>
          <w:sz w:val="28"/>
          <w:szCs w:val="28"/>
        </w:rPr>
      </w:pPr>
      <w:r w:rsidRPr="00DD4289">
        <w:rPr>
          <w:rFonts w:ascii="Times New Roman" w:hAnsi="Times New Roman" w:cs="Times New Roman"/>
          <w:sz w:val="28"/>
          <w:szCs w:val="28"/>
        </w:rPr>
        <w:lastRenderedPageBreak/>
        <w:t>Một số biện pháp được đề xuất để làm sâu sắc hơn nữa quan hệ kinh tế song phương, gồm: (i) Thúc đẩy thương mại song phương theo hướng bền vững và cân bằng hơn, mở rộng tiếp cận thị trường Trung Quốc cho các sản phẩm cạnh tranh của Việt Nam, đồng thời khuyến khích các doanh nghiệp Trung Quốc đầu tư và thành lập các trung tâm nghiên cứu và phát triển cũng như các trung tâm thu mua khu vực tại Việt Nam; (ii) Đẩy nhanh kết nối cơ sở hạ tầng chiến lược giữa hai nước, trở thành trụ cột quan trọng của quan hệ kinh tế song phương; (iii) Mở rộng hợp tác tài chính, thúc đẩy thanh toán bằng nội tệ, và nghiên cứu ký kết hiệp định hoán đổi tiền tệ song phương; (iv) Tạo ra những điểm nhấn hợp tác mới trong các ngành công nghiệp mới nổi chiến lược.</w:t>
      </w:r>
    </w:p>
    <w:p w14:paraId="4D34C627" w14:textId="7CA2A519" w:rsidR="00424DE4" w:rsidRPr="00424DE4" w:rsidRDefault="00424DE4" w:rsidP="00424DE4">
      <w:pPr>
        <w:spacing w:before="60" w:after="60" w:line="360" w:lineRule="exact"/>
        <w:ind w:firstLine="720"/>
        <w:jc w:val="both"/>
        <w:rPr>
          <w:rFonts w:ascii="Times New Roman" w:hAnsi="Times New Roman" w:cs="Times New Roman"/>
          <w:b/>
          <w:sz w:val="28"/>
          <w:szCs w:val="28"/>
        </w:rPr>
      </w:pPr>
      <w:r w:rsidRPr="00424DE4">
        <w:rPr>
          <w:rFonts w:ascii="Times New Roman" w:hAnsi="Times New Roman" w:cs="Times New Roman"/>
          <w:b/>
          <w:sz w:val="28"/>
          <w:szCs w:val="28"/>
        </w:rPr>
        <w:t xml:space="preserve">4. Triển vọng kinh tế Việt Nam </w:t>
      </w:r>
    </w:p>
    <w:p w14:paraId="77D7C902" w14:textId="6B832634" w:rsidR="00424DE4" w:rsidRDefault="00424DE4" w:rsidP="00424DE4">
      <w:pPr>
        <w:spacing w:before="60" w:after="60" w:line="360" w:lineRule="exact"/>
        <w:ind w:firstLine="720"/>
        <w:jc w:val="both"/>
        <w:rPr>
          <w:rStyle w:val="rynqvb"/>
          <w:rFonts w:ascii="Times New Roman" w:hAnsi="Times New Roman" w:cs="Times New Roman"/>
          <w:sz w:val="28"/>
          <w:szCs w:val="28"/>
        </w:rPr>
      </w:pPr>
      <w:r>
        <w:rPr>
          <w:rStyle w:val="rynqvb"/>
          <w:rFonts w:ascii="Times New Roman" w:hAnsi="Times New Roman" w:cs="Times New Roman"/>
          <w:sz w:val="28"/>
          <w:szCs w:val="28"/>
        </w:rPr>
        <w:t>Mạng Caixin của Trung Quốc đăng tải bài bình luận với tiêu đề “</w:t>
      </w:r>
      <w:r w:rsidRPr="00424DE4">
        <w:rPr>
          <w:rStyle w:val="rynqvb"/>
          <w:rFonts w:ascii="Times New Roman" w:hAnsi="Times New Roman" w:cs="Times New Roman"/>
          <w:sz w:val="28"/>
          <w:szCs w:val="28"/>
          <w:lang w:val="vi-VN"/>
        </w:rPr>
        <w:t>Làm thế Việt Nam trở thành ngôi sao mới nổi của nền kinh tế toàn cầu?</w:t>
      </w:r>
      <w:r>
        <w:rPr>
          <w:rStyle w:val="rynqvb"/>
          <w:rFonts w:ascii="Times New Roman" w:hAnsi="Times New Roman" w:cs="Times New Roman"/>
          <w:sz w:val="28"/>
          <w:szCs w:val="28"/>
        </w:rPr>
        <w:t xml:space="preserve">”, trong đó có một số nội dung đáng chú ý như sau: </w:t>
      </w:r>
    </w:p>
    <w:p w14:paraId="700EF11D" w14:textId="77777777" w:rsidR="002E40CC" w:rsidRPr="00AB0AC8" w:rsidRDefault="00424DE4" w:rsidP="002E40CC">
      <w:pPr>
        <w:spacing w:before="60" w:after="60" w:line="360" w:lineRule="exact"/>
        <w:ind w:firstLine="720"/>
        <w:jc w:val="both"/>
        <w:rPr>
          <w:rFonts w:ascii="Times New Roman" w:eastAsia="Times New Roman" w:hAnsi="Times New Roman" w:cs="Times New Roman"/>
          <w:sz w:val="28"/>
          <w:szCs w:val="28"/>
          <w:lang w:val="vi-VN" w:eastAsia="zh-CN"/>
        </w:rPr>
      </w:pPr>
      <w:r>
        <w:rPr>
          <w:rStyle w:val="rynqvb"/>
          <w:rFonts w:ascii="Times New Roman" w:hAnsi="Times New Roman" w:cs="Times New Roman"/>
          <w:sz w:val="28"/>
          <w:szCs w:val="28"/>
        </w:rPr>
        <w:t xml:space="preserve">(i) </w:t>
      </w:r>
      <w:r w:rsidR="006064AA" w:rsidRPr="00424DE4">
        <w:rPr>
          <w:rFonts w:ascii="Times New Roman" w:eastAsia="Times New Roman" w:hAnsi="Times New Roman" w:cs="Times New Roman"/>
          <w:sz w:val="28"/>
          <w:szCs w:val="28"/>
          <w:lang w:val="vi-VN" w:eastAsia="zh-CN"/>
        </w:rPr>
        <w:t xml:space="preserve">Trong hai năm qua, các tập đoàn lớn nhất thế giới và các nhà đầu tư vốn dường </w:t>
      </w:r>
      <w:r w:rsidR="002E40CC">
        <w:rPr>
          <w:rFonts w:ascii="Times New Roman" w:eastAsia="Times New Roman" w:hAnsi="Times New Roman" w:cs="Times New Roman"/>
          <w:sz w:val="28"/>
          <w:szCs w:val="28"/>
          <w:lang w:eastAsia="zh-CN"/>
        </w:rPr>
        <w:t xml:space="preserve">đều hướng về </w:t>
      </w:r>
      <w:r w:rsidR="006064AA" w:rsidRPr="00424DE4">
        <w:rPr>
          <w:rFonts w:ascii="Times New Roman" w:eastAsia="Times New Roman" w:hAnsi="Times New Roman" w:cs="Times New Roman"/>
          <w:sz w:val="28"/>
          <w:szCs w:val="28"/>
          <w:lang w:val="vi-VN" w:eastAsia="zh-CN"/>
        </w:rPr>
        <w:t>một điểm đến: Việt Nam. Nvidia đã thiết lập các trung t</w:t>
      </w:r>
      <w:r w:rsidR="002E40CC">
        <w:rPr>
          <w:rFonts w:ascii="Times New Roman" w:eastAsia="Times New Roman" w:hAnsi="Times New Roman" w:cs="Times New Roman"/>
          <w:sz w:val="28"/>
          <w:szCs w:val="28"/>
          <w:lang w:val="vi-VN" w:eastAsia="zh-CN"/>
        </w:rPr>
        <w:t xml:space="preserve">âm nghiên cứu và dữ liệu </w:t>
      </w:r>
      <w:r w:rsidR="002E40CC" w:rsidRPr="002E40CC">
        <w:rPr>
          <w:rFonts w:ascii="Times New Roman" w:eastAsia="Times New Roman" w:hAnsi="Times New Roman" w:cs="Times New Roman"/>
          <w:sz w:val="28"/>
          <w:szCs w:val="28"/>
          <w:lang w:val="vi-VN" w:eastAsia="zh-CN"/>
        </w:rPr>
        <w:t>Việt Nam</w:t>
      </w:r>
      <w:r w:rsidR="006064AA" w:rsidRPr="00424DE4">
        <w:rPr>
          <w:rFonts w:ascii="Times New Roman" w:eastAsia="Times New Roman" w:hAnsi="Times New Roman" w:cs="Times New Roman"/>
          <w:sz w:val="28"/>
          <w:szCs w:val="28"/>
          <w:lang w:val="vi-VN" w:eastAsia="zh-CN"/>
        </w:rPr>
        <w:t xml:space="preserve">. </w:t>
      </w:r>
      <w:r w:rsidR="002E40CC" w:rsidRPr="002E40CC">
        <w:rPr>
          <w:rFonts w:ascii="Times New Roman" w:eastAsia="Times New Roman" w:hAnsi="Times New Roman" w:cs="Times New Roman"/>
          <w:sz w:val="28"/>
          <w:szCs w:val="28"/>
          <w:lang w:val="vi-VN" w:eastAsia="zh-CN"/>
        </w:rPr>
        <w:t xml:space="preserve">Tương tự, </w:t>
      </w:r>
      <w:r w:rsidR="006064AA" w:rsidRPr="00424DE4">
        <w:rPr>
          <w:rFonts w:ascii="Times New Roman" w:eastAsia="Times New Roman" w:hAnsi="Times New Roman" w:cs="Times New Roman"/>
          <w:sz w:val="28"/>
          <w:szCs w:val="28"/>
          <w:lang w:val="vi-VN" w:eastAsia="zh-CN"/>
        </w:rPr>
        <w:t xml:space="preserve">Microsoft hợp tác với các công ty địa phương để phát triển các sản phẩm AI mới. Google đang đổ vốn vào cơ sở hạ tầng dữ liệu khổng lồ, và Qualcomm đã mua lại các công ty nghiên cứu địa phương để xây dựng đội ngũ riêng của mình. Ngay cả Apple, vốn từ lâu phụ thuộc vào sản xuất tại Trung Quốc, cũng đã mở rộng hoạt động ngoài việc lắp ráp iPhone và AirPods tại Việt Nam để ra mắt dây chuyền sản xuất mới cho các thiết bị gia dụng tích hợp AI. </w:t>
      </w:r>
    </w:p>
    <w:p w14:paraId="53D5905C" w14:textId="4614A4DA" w:rsidR="002E40CC" w:rsidRPr="00AB0AC8" w:rsidRDefault="006064AA" w:rsidP="002E40CC">
      <w:pPr>
        <w:spacing w:before="60" w:after="60" w:line="360" w:lineRule="exact"/>
        <w:ind w:firstLine="720"/>
        <w:jc w:val="both"/>
        <w:rPr>
          <w:rFonts w:ascii="Times New Roman" w:eastAsia="Times New Roman" w:hAnsi="Times New Roman" w:cs="Times New Roman"/>
          <w:sz w:val="28"/>
          <w:szCs w:val="28"/>
          <w:lang w:val="vi-VN" w:eastAsia="zh-CN"/>
        </w:rPr>
      </w:pPr>
      <w:r w:rsidRPr="00424DE4">
        <w:rPr>
          <w:rFonts w:ascii="Times New Roman" w:eastAsia="Times New Roman" w:hAnsi="Times New Roman" w:cs="Times New Roman"/>
          <w:sz w:val="28"/>
          <w:szCs w:val="28"/>
          <w:lang w:val="vi-VN" w:eastAsia="zh-CN"/>
        </w:rPr>
        <w:t>S</w:t>
      </w:r>
      <w:r w:rsidR="002E40CC">
        <w:rPr>
          <w:rFonts w:ascii="Times New Roman" w:eastAsia="Times New Roman" w:hAnsi="Times New Roman" w:cs="Times New Roman"/>
          <w:sz w:val="28"/>
          <w:szCs w:val="28"/>
          <w:lang w:val="vi-VN" w:eastAsia="zh-CN"/>
        </w:rPr>
        <w:t xml:space="preserve">ự dịch chuyển vốn </w:t>
      </w:r>
      <w:r w:rsidR="002E40CC" w:rsidRPr="00AB0AC8">
        <w:rPr>
          <w:rFonts w:ascii="Times New Roman" w:eastAsia="Times New Roman" w:hAnsi="Times New Roman" w:cs="Times New Roman"/>
          <w:sz w:val="28"/>
          <w:szCs w:val="28"/>
          <w:lang w:val="vi-VN" w:eastAsia="zh-CN"/>
        </w:rPr>
        <w:t>nói trên</w:t>
      </w:r>
      <w:r w:rsidRPr="00424DE4">
        <w:rPr>
          <w:rFonts w:ascii="Times New Roman" w:eastAsia="Times New Roman" w:hAnsi="Times New Roman" w:cs="Times New Roman"/>
          <w:sz w:val="28"/>
          <w:szCs w:val="28"/>
          <w:lang w:val="vi-VN" w:eastAsia="zh-CN"/>
        </w:rPr>
        <w:t xml:space="preserve"> không chỉ giới hạn ở các tập đoàn công nghệ lớn. Nike hiện sản xuất hơn một nửa giày dép và một phần ba quần áo tại Việt Nam. Pandora, gã khổng lồ trang sức, gần đây đã đầu tư hơn 150 triệu </w:t>
      </w:r>
      <w:r w:rsidR="002E40CC" w:rsidRPr="002E40CC">
        <w:rPr>
          <w:rFonts w:ascii="Times New Roman" w:eastAsia="Times New Roman" w:hAnsi="Times New Roman" w:cs="Times New Roman"/>
          <w:sz w:val="28"/>
          <w:szCs w:val="28"/>
          <w:lang w:val="vi-VN" w:eastAsia="zh-CN"/>
        </w:rPr>
        <w:t xml:space="preserve">USD </w:t>
      </w:r>
      <w:r w:rsidRPr="00424DE4">
        <w:rPr>
          <w:rFonts w:ascii="Times New Roman" w:eastAsia="Times New Roman" w:hAnsi="Times New Roman" w:cs="Times New Roman"/>
          <w:sz w:val="28"/>
          <w:szCs w:val="28"/>
          <w:lang w:val="vi-VN" w:eastAsia="zh-CN"/>
        </w:rPr>
        <w:t xml:space="preserve">vào một nhà máy mới. </w:t>
      </w:r>
    </w:p>
    <w:p w14:paraId="5FD73A40" w14:textId="77777777" w:rsidR="002E40CC" w:rsidRPr="002E40CC" w:rsidRDefault="002E40CC" w:rsidP="002E40CC">
      <w:pPr>
        <w:spacing w:before="60" w:after="60" w:line="360" w:lineRule="exact"/>
        <w:ind w:firstLine="720"/>
        <w:jc w:val="both"/>
        <w:rPr>
          <w:rFonts w:ascii="Times New Roman" w:eastAsia="Times New Roman" w:hAnsi="Times New Roman" w:cs="Times New Roman"/>
          <w:sz w:val="28"/>
          <w:szCs w:val="28"/>
          <w:lang w:val="vi-VN" w:eastAsia="zh-CN"/>
        </w:rPr>
      </w:pPr>
      <w:r w:rsidRPr="00AB0AC8">
        <w:rPr>
          <w:rFonts w:ascii="Times New Roman" w:eastAsia="Times New Roman" w:hAnsi="Times New Roman" w:cs="Times New Roman"/>
          <w:sz w:val="28"/>
          <w:szCs w:val="28"/>
          <w:lang w:val="vi-VN" w:eastAsia="zh-CN"/>
        </w:rPr>
        <w:t xml:space="preserve">(ii) </w:t>
      </w:r>
      <w:r w:rsidR="006064AA" w:rsidRPr="00424DE4">
        <w:rPr>
          <w:rFonts w:ascii="Times New Roman" w:eastAsia="Times New Roman" w:hAnsi="Times New Roman" w:cs="Times New Roman"/>
          <w:sz w:val="28"/>
          <w:szCs w:val="28"/>
          <w:lang w:val="vi-VN" w:eastAsia="zh-CN"/>
        </w:rPr>
        <w:t xml:space="preserve">Kết quả hữu hình của sự dịch </w:t>
      </w:r>
      <w:r w:rsidRPr="00AB0AC8">
        <w:rPr>
          <w:rFonts w:ascii="Times New Roman" w:eastAsia="Times New Roman" w:hAnsi="Times New Roman" w:cs="Times New Roman"/>
          <w:sz w:val="28"/>
          <w:szCs w:val="28"/>
          <w:lang w:val="vi-VN" w:eastAsia="zh-CN"/>
        </w:rPr>
        <w:t xml:space="preserve">trên </w:t>
      </w:r>
      <w:r w:rsidR="006064AA" w:rsidRPr="00424DE4">
        <w:rPr>
          <w:rFonts w:ascii="Times New Roman" w:eastAsia="Times New Roman" w:hAnsi="Times New Roman" w:cs="Times New Roman"/>
          <w:sz w:val="28"/>
          <w:szCs w:val="28"/>
          <w:lang w:val="vi-VN" w:eastAsia="zh-CN"/>
        </w:rPr>
        <w:t>là sự bùng nổ thương mại, đi ngược lại xu hướng phân mảnh toàn cầu. Tổng kim ngạch thương mại quốc tế của Việt Nam đã tăng vọt, từ 545 tỷ USD n</w:t>
      </w:r>
      <w:r>
        <w:rPr>
          <w:rFonts w:ascii="Times New Roman" w:eastAsia="Times New Roman" w:hAnsi="Times New Roman" w:cs="Times New Roman"/>
          <w:sz w:val="28"/>
          <w:szCs w:val="28"/>
          <w:lang w:val="vi-VN" w:eastAsia="zh-CN"/>
        </w:rPr>
        <w:t>ăm 2020 lên 900 tỷ USD năm 2025</w:t>
      </w:r>
      <w:r w:rsidR="006064AA" w:rsidRPr="00424DE4">
        <w:rPr>
          <w:rFonts w:ascii="Times New Roman" w:eastAsia="Times New Roman" w:hAnsi="Times New Roman" w:cs="Times New Roman"/>
          <w:sz w:val="28"/>
          <w:szCs w:val="28"/>
          <w:lang w:val="vi-VN" w:eastAsia="zh-CN"/>
        </w:rPr>
        <w:t>. Ấn tượng hơn nữa, trong bối cảnh kinh tế toàn cầu suy giảm vào năm 2025, tăng trưởng GDP của Việt Nam ước tính đã vượt quá 8%. Đây không chỉ là tăng trưởng nhanh mà còn là</w:t>
      </w:r>
      <w:r>
        <w:rPr>
          <w:rFonts w:ascii="Times New Roman" w:eastAsia="Times New Roman" w:hAnsi="Times New Roman" w:cs="Times New Roman"/>
          <w:sz w:val="28"/>
          <w:szCs w:val="28"/>
          <w:lang w:val="vi-VN" w:eastAsia="zh-CN"/>
        </w:rPr>
        <w:t xml:space="preserve"> sự mở rộng ổn định và mạnh mẽ.</w:t>
      </w:r>
    </w:p>
    <w:p w14:paraId="5EE12872" w14:textId="77777777" w:rsidR="00D067D8" w:rsidRPr="00D067D8" w:rsidRDefault="002E40CC" w:rsidP="00D067D8">
      <w:pPr>
        <w:spacing w:before="60" w:after="60" w:line="360" w:lineRule="exact"/>
        <w:ind w:firstLine="720"/>
        <w:jc w:val="both"/>
        <w:rPr>
          <w:rFonts w:ascii="Times New Roman" w:eastAsia="Times New Roman" w:hAnsi="Times New Roman" w:cs="Times New Roman"/>
          <w:sz w:val="28"/>
          <w:szCs w:val="28"/>
          <w:lang w:val="vi-VN" w:eastAsia="zh-CN"/>
        </w:rPr>
      </w:pPr>
      <w:r w:rsidRPr="00D067D8">
        <w:rPr>
          <w:rFonts w:ascii="Times New Roman" w:eastAsia="Times New Roman" w:hAnsi="Times New Roman" w:cs="Times New Roman"/>
          <w:sz w:val="28"/>
          <w:szCs w:val="28"/>
          <w:lang w:val="vi-VN" w:eastAsia="zh-CN"/>
        </w:rPr>
        <w:t xml:space="preserve">(iii) </w:t>
      </w:r>
      <w:r w:rsidR="006064AA" w:rsidRPr="00424DE4">
        <w:rPr>
          <w:rFonts w:ascii="Times New Roman" w:eastAsia="Times New Roman" w:hAnsi="Times New Roman" w:cs="Times New Roman"/>
          <w:sz w:val="28"/>
          <w:szCs w:val="28"/>
          <w:lang w:val="vi-VN" w:eastAsia="zh-CN"/>
        </w:rPr>
        <w:t xml:space="preserve">Thành công </w:t>
      </w:r>
      <w:r w:rsidR="00D067D8" w:rsidRPr="00D067D8">
        <w:rPr>
          <w:rFonts w:ascii="Times New Roman" w:eastAsia="Times New Roman" w:hAnsi="Times New Roman" w:cs="Times New Roman"/>
          <w:sz w:val="28"/>
          <w:szCs w:val="28"/>
          <w:lang w:val="vi-VN" w:eastAsia="zh-CN"/>
        </w:rPr>
        <w:t xml:space="preserve">của Việt Nam đến từ </w:t>
      </w:r>
      <w:r w:rsidR="006064AA" w:rsidRPr="00424DE4">
        <w:rPr>
          <w:rFonts w:ascii="Times New Roman" w:eastAsia="Times New Roman" w:hAnsi="Times New Roman" w:cs="Times New Roman"/>
          <w:sz w:val="28"/>
          <w:szCs w:val="28"/>
          <w:lang w:val="vi-VN" w:eastAsia="zh-CN"/>
        </w:rPr>
        <w:t>b</w:t>
      </w:r>
      <w:r w:rsidR="00D067D8">
        <w:rPr>
          <w:rFonts w:ascii="Times New Roman" w:eastAsia="Times New Roman" w:hAnsi="Times New Roman" w:cs="Times New Roman"/>
          <w:sz w:val="28"/>
          <w:szCs w:val="28"/>
          <w:lang w:val="vi-VN" w:eastAsia="zh-CN"/>
        </w:rPr>
        <w:t>a bước đi chiến lược riêng biệt</w:t>
      </w:r>
      <w:r w:rsidR="00D067D8" w:rsidRPr="00D067D8">
        <w:rPr>
          <w:rFonts w:ascii="Times New Roman" w:eastAsia="Times New Roman" w:hAnsi="Times New Roman" w:cs="Times New Roman"/>
          <w:sz w:val="28"/>
          <w:szCs w:val="28"/>
          <w:lang w:val="vi-VN" w:eastAsia="zh-CN"/>
        </w:rPr>
        <w:t xml:space="preserve"> - </w:t>
      </w:r>
      <w:r w:rsidR="006064AA" w:rsidRPr="00424DE4">
        <w:rPr>
          <w:rFonts w:ascii="Times New Roman" w:eastAsia="Times New Roman" w:hAnsi="Times New Roman" w:cs="Times New Roman"/>
          <w:sz w:val="28"/>
          <w:szCs w:val="28"/>
          <w:lang w:val="vi-VN" w:eastAsia="zh-CN"/>
        </w:rPr>
        <w:t>một cách tiếp cận “ba mũi nhọn” trong cải cách</w:t>
      </w:r>
      <w:r w:rsidR="00D067D8">
        <w:rPr>
          <w:rFonts w:ascii="Times New Roman" w:eastAsia="Times New Roman" w:hAnsi="Times New Roman" w:cs="Times New Roman"/>
          <w:sz w:val="28"/>
          <w:szCs w:val="28"/>
          <w:lang w:val="vi-VN" w:eastAsia="zh-CN"/>
        </w:rPr>
        <w:t xml:space="preserve">, gồm: </w:t>
      </w:r>
    </w:p>
    <w:p w14:paraId="2CF9353E" w14:textId="19BAF0C0" w:rsidR="006064AA" w:rsidRPr="006064AA" w:rsidRDefault="006064AA" w:rsidP="00D067D8">
      <w:pPr>
        <w:spacing w:before="60" w:after="60" w:line="360" w:lineRule="exact"/>
        <w:ind w:firstLine="720"/>
        <w:jc w:val="both"/>
        <w:rPr>
          <w:rFonts w:ascii="Times New Roman" w:eastAsia="Times New Roman" w:hAnsi="Times New Roman" w:cs="Times New Roman"/>
          <w:sz w:val="28"/>
          <w:szCs w:val="28"/>
          <w:lang w:val="vi-VN" w:eastAsia="zh-CN"/>
        </w:rPr>
      </w:pPr>
      <w:r w:rsidRPr="00424DE4">
        <w:rPr>
          <w:rFonts w:ascii="Times New Roman" w:eastAsia="Times New Roman" w:hAnsi="Times New Roman" w:cs="Times New Roman"/>
          <w:sz w:val="28"/>
          <w:szCs w:val="28"/>
          <w:lang w:val="vi-VN" w:eastAsia="zh-CN"/>
        </w:rPr>
        <w:t>Chiến lược đầu tiên là cam kết hoàn toàn với chính sách mở cửa.</w:t>
      </w:r>
      <w:r w:rsidR="00D067D8" w:rsidRPr="00D067D8">
        <w:rPr>
          <w:rFonts w:ascii="Times New Roman" w:eastAsia="Times New Roman" w:hAnsi="Times New Roman" w:cs="Times New Roman"/>
          <w:sz w:val="28"/>
          <w:szCs w:val="28"/>
          <w:lang w:val="vi-VN" w:eastAsia="zh-CN"/>
        </w:rPr>
        <w:t xml:space="preserve"> </w:t>
      </w:r>
      <w:r w:rsidRPr="00424DE4">
        <w:rPr>
          <w:rFonts w:ascii="Times New Roman" w:eastAsia="Times New Roman" w:hAnsi="Times New Roman" w:cs="Times New Roman"/>
          <w:sz w:val="28"/>
          <w:szCs w:val="28"/>
          <w:lang w:val="vi-VN" w:eastAsia="zh-CN"/>
        </w:rPr>
        <w:t xml:space="preserve">Trong khi chủ nghĩa bảo hộ gia tăng ở phương Tây, Hà Nội đã định vị mình là đối tác </w:t>
      </w:r>
      <w:r w:rsidR="00D067D8" w:rsidRPr="00D067D8">
        <w:rPr>
          <w:rFonts w:ascii="Times New Roman" w:eastAsia="Times New Roman" w:hAnsi="Times New Roman" w:cs="Times New Roman"/>
          <w:sz w:val="28"/>
          <w:szCs w:val="28"/>
          <w:lang w:val="vi-VN" w:eastAsia="zh-CN"/>
        </w:rPr>
        <w:t xml:space="preserve">tích cực </w:t>
      </w:r>
      <w:r w:rsidRPr="00424DE4">
        <w:rPr>
          <w:rFonts w:ascii="Times New Roman" w:eastAsia="Times New Roman" w:hAnsi="Times New Roman" w:cs="Times New Roman"/>
          <w:sz w:val="28"/>
          <w:szCs w:val="28"/>
          <w:lang w:val="vi-VN" w:eastAsia="zh-CN"/>
        </w:rPr>
        <w:t xml:space="preserve">nhất trong chuỗi cung ứng toàn cầu. Việt Nam đã tích cực theo đuổi các hiệp định thương mại tự do thế hệ mới để loại bỏ các rào cản cho dòng chảy </w:t>
      </w:r>
      <w:r w:rsidRPr="00424DE4">
        <w:rPr>
          <w:rFonts w:ascii="Times New Roman" w:eastAsia="Times New Roman" w:hAnsi="Times New Roman" w:cs="Times New Roman"/>
          <w:sz w:val="28"/>
          <w:szCs w:val="28"/>
          <w:lang w:val="vi-VN" w:eastAsia="zh-CN"/>
        </w:rPr>
        <w:lastRenderedPageBreak/>
        <w:t xml:space="preserve">hàng hóa. Đồng thời, Việt Nam đã áp dụng chiến lược của Singapore, đưa ra các ưu đãi mạnh mẽ và sự chân thành để thu hút đầu tư trực tiếp nước ngoài (FDI). </w:t>
      </w:r>
    </w:p>
    <w:p w14:paraId="75178DC0" w14:textId="77777777" w:rsidR="00D067D8" w:rsidRPr="00AB0AC8" w:rsidRDefault="00424DE4" w:rsidP="00DD4289">
      <w:pPr>
        <w:spacing w:before="60" w:after="60" w:line="360" w:lineRule="exact"/>
        <w:ind w:firstLine="720"/>
        <w:jc w:val="both"/>
        <w:rPr>
          <w:rStyle w:val="rynqvb"/>
          <w:rFonts w:ascii="Times New Roman" w:hAnsi="Times New Roman" w:cs="Times New Roman"/>
          <w:sz w:val="28"/>
          <w:szCs w:val="28"/>
          <w:lang w:val="vi-VN"/>
        </w:rPr>
      </w:pPr>
      <w:r w:rsidRPr="00424DE4">
        <w:rPr>
          <w:rStyle w:val="rynqvb"/>
          <w:rFonts w:ascii="Times New Roman" w:hAnsi="Times New Roman" w:cs="Times New Roman"/>
          <w:sz w:val="28"/>
          <w:szCs w:val="28"/>
          <w:lang w:val="vi-VN"/>
        </w:rPr>
        <w:t>Chiến lược thứ hai liên quan đến việc tập trung cải tổ môi trường kinh doanh từ bên trong.</w:t>
      </w:r>
      <w:r w:rsidRPr="00424DE4">
        <w:rPr>
          <w:rStyle w:val="hwtze"/>
          <w:rFonts w:ascii="Times New Roman" w:hAnsi="Times New Roman" w:cs="Times New Roman"/>
          <w:sz w:val="28"/>
          <w:szCs w:val="28"/>
          <w:lang w:val="vi-VN"/>
        </w:rPr>
        <w:t xml:space="preserve"> </w:t>
      </w:r>
      <w:r w:rsidRPr="00424DE4">
        <w:rPr>
          <w:rStyle w:val="rynqvb"/>
          <w:rFonts w:ascii="Times New Roman" w:hAnsi="Times New Roman" w:cs="Times New Roman"/>
          <w:sz w:val="28"/>
          <w:szCs w:val="28"/>
          <w:lang w:val="vi-VN"/>
        </w:rPr>
        <w:t>Lãnh đạo Việt Nam đã công khai yêu cầu loại bỏ các “rào cản pháp lý”, nhằm tạo ra một “hành lang pháp lý thuận lợi” cho các nhà đầu tư. Đối với các công ty công nghệ cao muốn đầu tư dài hạn vào nghiên cứu và phát triển, một môi trường pháp lý minh bạch và dễ dự đoán thường quan trọng hơn các khoản giảm thuế tạm thời.</w:t>
      </w:r>
      <w:r w:rsidRPr="00424DE4">
        <w:rPr>
          <w:rStyle w:val="hwtze"/>
          <w:rFonts w:ascii="Times New Roman" w:hAnsi="Times New Roman" w:cs="Times New Roman"/>
          <w:sz w:val="28"/>
          <w:szCs w:val="28"/>
          <w:lang w:val="vi-VN"/>
        </w:rPr>
        <w:t xml:space="preserve"> </w:t>
      </w:r>
      <w:r w:rsidRPr="00424DE4">
        <w:rPr>
          <w:rStyle w:val="rynqvb"/>
          <w:rFonts w:ascii="Times New Roman" w:hAnsi="Times New Roman" w:cs="Times New Roman"/>
          <w:sz w:val="28"/>
          <w:szCs w:val="28"/>
          <w:lang w:val="vi-VN"/>
        </w:rPr>
        <w:t>Sự ổn định này là lý do tại sao Nvidia, Google và Qualcomm cảm thấy thoải mái khi đặt hoạt động phát triển tài sản trí tuệ của họ tại Việt Nam.</w:t>
      </w:r>
      <w:r w:rsidRPr="00424DE4">
        <w:rPr>
          <w:rStyle w:val="hwtze"/>
          <w:rFonts w:ascii="Times New Roman" w:hAnsi="Times New Roman" w:cs="Times New Roman"/>
          <w:sz w:val="28"/>
          <w:szCs w:val="28"/>
          <w:lang w:val="vi-VN"/>
        </w:rPr>
        <w:t xml:space="preserve"> </w:t>
      </w:r>
    </w:p>
    <w:p w14:paraId="5C2EE97D" w14:textId="77777777" w:rsidR="00D067D8" w:rsidRPr="00AB0AC8" w:rsidRDefault="00424DE4" w:rsidP="00D067D8">
      <w:pPr>
        <w:spacing w:before="60" w:after="60" w:line="360" w:lineRule="exact"/>
        <w:ind w:firstLine="720"/>
        <w:jc w:val="both"/>
        <w:rPr>
          <w:rStyle w:val="hwtze"/>
          <w:rFonts w:ascii="Times New Roman" w:hAnsi="Times New Roman" w:cs="Times New Roman"/>
          <w:sz w:val="28"/>
          <w:szCs w:val="28"/>
          <w:lang w:val="vi-VN"/>
        </w:rPr>
      </w:pPr>
      <w:r w:rsidRPr="00424DE4">
        <w:rPr>
          <w:rStyle w:val="rynqvb"/>
          <w:rFonts w:ascii="Times New Roman" w:hAnsi="Times New Roman" w:cs="Times New Roman"/>
          <w:sz w:val="28"/>
          <w:szCs w:val="28"/>
          <w:lang w:val="vi-VN"/>
        </w:rPr>
        <w:t xml:space="preserve">Chiến lược thứ ba là thúc đẩy </w:t>
      </w:r>
      <w:r w:rsidR="00D067D8" w:rsidRPr="00AB0AC8">
        <w:rPr>
          <w:rStyle w:val="rynqvb"/>
          <w:rFonts w:ascii="Times New Roman" w:hAnsi="Times New Roman" w:cs="Times New Roman"/>
          <w:sz w:val="28"/>
          <w:szCs w:val="28"/>
          <w:lang w:val="vi-VN"/>
        </w:rPr>
        <w:t xml:space="preserve">cả tiêu dùng và đổi mới. </w:t>
      </w:r>
      <w:r w:rsidRPr="00424DE4">
        <w:rPr>
          <w:rStyle w:val="rynqvb"/>
          <w:rFonts w:ascii="Times New Roman" w:hAnsi="Times New Roman" w:cs="Times New Roman"/>
          <w:sz w:val="28"/>
          <w:szCs w:val="28"/>
          <w:lang w:val="vi-VN"/>
        </w:rPr>
        <w:t>Khi thu nhập tăng lên, tầng lớp trung lưu Việt Nam đang thúc đẩy sự bùng nổ về tiêu dùng và du lịch.</w:t>
      </w:r>
      <w:r w:rsidRPr="00424DE4">
        <w:rPr>
          <w:rStyle w:val="hwtze"/>
          <w:rFonts w:ascii="Times New Roman" w:hAnsi="Times New Roman" w:cs="Times New Roman"/>
          <w:sz w:val="28"/>
          <w:szCs w:val="28"/>
          <w:lang w:val="vi-VN"/>
        </w:rPr>
        <w:t xml:space="preserve"> </w:t>
      </w:r>
      <w:r w:rsidRPr="00424DE4">
        <w:rPr>
          <w:rStyle w:val="rynqvb"/>
          <w:rFonts w:ascii="Times New Roman" w:hAnsi="Times New Roman" w:cs="Times New Roman"/>
          <w:sz w:val="28"/>
          <w:szCs w:val="28"/>
          <w:lang w:val="vi-VN"/>
        </w:rPr>
        <w:t>Tuy nhiên, điều thú vị hơn cả là động lực đổi mới.</w:t>
      </w:r>
      <w:r w:rsidRPr="00424DE4">
        <w:rPr>
          <w:rStyle w:val="hwtze"/>
          <w:rFonts w:ascii="Times New Roman" w:hAnsi="Times New Roman" w:cs="Times New Roman"/>
          <w:sz w:val="28"/>
          <w:szCs w:val="28"/>
          <w:lang w:val="vi-VN"/>
        </w:rPr>
        <w:t xml:space="preserve"> </w:t>
      </w:r>
    </w:p>
    <w:p w14:paraId="218ADCA7" w14:textId="77777777" w:rsidR="00176395" w:rsidRDefault="00D067D8" w:rsidP="00D067D8">
      <w:pPr>
        <w:spacing w:before="60" w:after="60" w:line="360" w:lineRule="exact"/>
        <w:ind w:firstLine="720"/>
        <w:jc w:val="both"/>
        <w:rPr>
          <w:rStyle w:val="rynqvb"/>
          <w:rFonts w:ascii="Times New Roman" w:hAnsi="Times New Roman" w:cs="Times New Roman"/>
          <w:sz w:val="28"/>
          <w:szCs w:val="28"/>
        </w:rPr>
      </w:pPr>
      <w:r w:rsidRPr="00AB0AC8">
        <w:rPr>
          <w:rStyle w:val="rynqvb"/>
          <w:rFonts w:ascii="Times New Roman" w:hAnsi="Times New Roman" w:cs="Times New Roman"/>
          <w:sz w:val="28"/>
          <w:szCs w:val="28"/>
          <w:lang w:val="vi-VN"/>
        </w:rPr>
        <w:t xml:space="preserve">Quyết </w:t>
      </w:r>
      <w:r w:rsidR="00424DE4" w:rsidRPr="00424DE4">
        <w:rPr>
          <w:rStyle w:val="rynqvb"/>
          <w:rFonts w:ascii="Times New Roman" w:hAnsi="Times New Roman" w:cs="Times New Roman"/>
          <w:sz w:val="28"/>
          <w:szCs w:val="28"/>
          <w:lang w:val="vi-VN"/>
        </w:rPr>
        <w:t>định của Apple về việc ra mắt các dòng phần cứng AI và việc Nvidia thành lập các trung tâm nghiên cứu và phát triển cho thấy Việt Nam đang chuyển mình từ một “xưởng lắp ráp” toàn cầu thành một “phòng thí nghiệm đổi mới”.</w:t>
      </w:r>
      <w:r w:rsidR="00424DE4" w:rsidRPr="00424DE4">
        <w:rPr>
          <w:rStyle w:val="hwtze"/>
          <w:rFonts w:ascii="Times New Roman" w:hAnsi="Times New Roman" w:cs="Times New Roman"/>
          <w:sz w:val="28"/>
          <w:szCs w:val="28"/>
          <w:lang w:val="vi-VN"/>
        </w:rPr>
        <w:t xml:space="preserve"> </w:t>
      </w:r>
      <w:r w:rsidRPr="00D067D8">
        <w:rPr>
          <w:rStyle w:val="rynqvb"/>
          <w:rFonts w:ascii="Times New Roman" w:hAnsi="Times New Roman" w:cs="Times New Roman"/>
          <w:sz w:val="28"/>
          <w:szCs w:val="28"/>
          <w:lang w:val="vi-VN"/>
        </w:rPr>
        <w:t xml:space="preserve">Việt Nam </w:t>
      </w:r>
      <w:r w:rsidR="00424DE4" w:rsidRPr="00424DE4">
        <w:rPr>
          <w:rStyle w:val="rynqvb"/>
          <w:rFonts w:ascii="Times New Roman" w:hAnsi="Times New Roman" w:cs="Times New Roman"/>
          <w:sz w:val="28"/>
          <w:szCs w:val="28"/>
          <w:lang w:val="vi-VN"/>
        </w:rPr>
        <w:t xml:space="preserve">đang leo lên chuỗi giá trị, tham gia vào thiết kế và nghiên cứu có giá trị cao hơn. </w:t>
      </w:r>
    </w:p>
    <w:p w14:paraId="7C7DA14A" w14:textId="773B3D03" w:rsidR="006064AA" w:rsidRPr="0090090F" w:rsidRDefault="00424DE4" w:rsidP="00D067D8">
      <w:pPr>
        <w:spacing w:before="60" w:after="60" w:line="360" w:lineRule="exact"/>
        <w:ind w:firstLine="720"/>
        <w:jc w:val="both"/>
        <w:rPr>
          <w:rFonts w:ascii="Times New Roman" w:hAnsi="Times New Roman" w:cs="Times New Roman"/>
          <w:sz w:val="28"/>
          <w:szCs w:val="28"/>
          <w:lang w:val="vi-VN"/>
        </w:rPr>
      </w:pPr>
      <w:r w:rsidRPr="00424DE4">
        <w:rPr>
          <w:rStyle w:val="rynqvb"/>
          <w:rFonts w:ascii="Times New Roman" w:hAnsi="Times New Roman" w:cs="Times New Roman"/>
          <w:sz w:val="28"/>
          <w:szCs w:val="28"/>
          <w:lang w:val="vi-VN"/>
        </w:rPr>
        <w:t>Sự trỗi dậy của Việt Nam mang đến một bài học quý giá.</w:t>
      </w:r>
      <w:r w:rsidRPr="00424DE4">
        <w:rPr>
          <w:rStyle w:val="hwtze"/>
          <w:rFonts w:ascii="Times New Roman" w:hAnsi="Times New Roman" w:cs="Times New Roman"/>
          <w:sz w:val="28"/>
          <w:szCs w:val="28"/>
          <w:lang w:val="vi-VN"/>
        </w:rPr>
        <w:t xml:space="preserve"> </w:t>
      </w:r>
      <w:r w:rsidRPr="00424DE4">
        <w:rPr>
          <w:rStyle w:val="rynqvb"/>
          <w:rFonts w:ascii="Times New Roman" w:hAnsi="Times New Roman" w:cs="Times New Roman"/>
          <w:sz w:val="28"/>
          <w:szCs w:val="28"/>
          <w:lang w:val="vi-VN"/>
        </w:rPr>
        <w:t>Trong thời đại bất ổn địa chính trị và các liên minh thay đổi, một quốc gia vẫn có thể nắm bắt những cơ hội lịch sử thông qua việc mở cửa bên ngoài một cách quyết đoán, cải cách nội bộ kiên định và nắm bắt chính xác các xu hướng công nghệ</w:t>
      </w:r>
      <w:r w:rsidR="008B1D4A">
        <w:rPr>
          <w:rStyle w:val="rynqvb"/>
          <w:rFonts w:ascii="Times New Roman" w:hAnsi="Times New Roman" w:cs="Times New Roman"/>
          <w:sz w:val="28"/>
          <w:szCs w:val="28"/>
          <w:lang w:val="vi-VN"/>
        </w:rPr>
        <w:t xml:space="preserve"> tương lai</w:t>
      </w:r>
      <w:bookmarkStart w:id="1" w:name="_GoBack"/>
      <w:bookmarkEnd w:id="1"/>
      <w:r w:rsidRPr="00424DE4">
        <w:rPr>
          <w:rStyle w:val="rynqvb"/>
          <w:rFonts w:ascii="Times New Roman" w:hAnsi="Times New Roman" w:cs="Times New Roman"/>
          <w:sz w:val="28"/>
          <w:szCs w:val="28"/>
          <w:lang w:val="vi-VN"/>
        </w:rPr>
        <w:t>.</w:t>
      </w:r>
      <w:r w:rsidR="00D067D8" w:rsidRPr="0090090F">
        <w:rPr>
          <w:rStyle w:val="rynqvb"/>
          <w:rFonts w:ascii="Times New Roman" w:hAnsi="Times New Roman" w:cs="Times New Roman"/>
          <w:sz w:val="28"/>
          <w:szCs w:val="28"/>
          <w:lang w:val="vi-VN"/>
        </w:rPr>
        <w:t>/.</w:t>
      </w:r>
    </w:p>
    <w:p w14:paraId="353280B2" w14:textId="77777777" w:rsidR="009E046F" w:rsidRPr="006064AA" w:rsidRDefault="009E046F" w:rsidP="00FD4A0C">
      <w:pPr>
        <w:spacing w:before="40" w:after="40" w:line="360" w:lineRule="exact"/>
        <w:ind w:firstLine="720"/>
        <w:jc w:val="both"/>
        <w:rPr>
          <w:rFonts w:ascii="Times New Roman" w:hAnsi="Times New Roman" w:cs="Times New Roman"/>
          <w:sz w:val="28"/>
          <w:szCs w:val="28"/>
          <w:lang w:val="vi-VN"/>
        </w:rPr>
      </w:pPr>
    </w:p>
    <w:p w14:paraId="2613980F" w14:textId="77777777" w:rsidR="009A2FB3" w:rsidRPr="00876A31" w:rsidRDefault="009A2FB3" w:rsidP="00876A31">
      <w:pPr>
        <w:spacing w:before="40" w:after="40" w:line="360" w:lineRule="exact"/>
        <w:ind w:firstLine="720"/>
        <w:jc w:val="both"/>
        <w:rPr>
          <w:rFonts w:ascii="Times New Roman" w:hAnsi="Times New Roman" w:cs="Times New Roman"/>
          <w:color w:val="000000" w:themeColor="text1"/>
          <w:sz w:val="28"/>
          <w:szCs w:val="28"/>
        </w:rPr>
      </w:pPr>
      <w:r w:rsidRPr="00876A31">
        <w:rPr>
          <w:rFonts w:ascii="Times New Roman" w:hAnsi="Times New Roman" w:cs="Times New Roman"/>
          <w:color w:val="000000" w:themeColor="text1"/>
          <w:sz w:val="28"/>
          <w:szCs w:val="28"/>
          <w:lang w:val="vi-VN"/>
        </w:rPr>
        <w:t xml:space="preserve">                                             </w:t>
      </w:r>
      <w:r w:rsidRPr="00876A31">
        <w:rPr>
          <w:rFonts w:ascii="Times New Roman" w:hAnsi="Times New Roman" w:cs="Times New Roman"/>
          <w:b/>
          <w:color w:val="000000" w:themeColor="text1"/>
          <w:sz w:val="28"/>
          <w:szCs w:val="28"/>
          <w:lang w:val="vi-VN"/>
        </w:rPr>
        <w:t>**********</w:t>
      </w:r>
    </w:p>
    <w:p w14:paraId="0E066313" w14:textId="77777777" w:rsidR="009A2FB3" w:rsidRPr="00876A31" w:rsidRDefault="009A2FB3" w:rsidP="00876A31">
      <w:pPr>
        <w:adjustRightInd w:val="0"/>
        <w:snapToGrid w:val="0"/>
        <w:spacing w:before="40" w:after="40" w:line="360" w:lineRule="exact"/>
        <w:ind w:firstLine="720"/>
        <w:jc w:val="both"/>
        <w:rPr>
          <w:rFonts w:ascii="Times New Roman" w:hAnsi="Times New Roman" w:cs="Times New Roman"/>
          <w:b/>
          <w:color w:val="000000" w:themeColor="text1"/>
          <w:sz w:val="28"/>
          <w:szCs w:val="28"/>
        </w:rPr>
      </w:pPr>
    </w:p>
    <w:p w14:paraId="57B3891F" w14:textId="77777777" w:rsidR="00FE712C" w:rsidRPr="00876A31" w:rsidRDefault="00FE712C" w:rsidP="00876A31">
      <w:pPr>
        <w:spacing w:before="40" w:after="40" w:line="360" w:lineRule="exact"/>
        <w:ind w:firstLine="720"/>
        <w:jc w:val="both"/>
        <w:rPr>
          <w:rFonts w:ascii="Times New Roman" w:hAnsi="Times New Roman" w:cs="Times New Roman"/>
          <w:color w:val="000000" w:themeColor="text1"/>
          <w:sz w:val="28"/>
          <w:szCs w:val="28"/>
        </w:rPr>
      </w:pPr>
    </w:p>
    <w:sectPr w:rsidR="00FE712C" w:rsidRPr="00876A31" w:rsidSect="00B95AFA">
      <w:footerReference w:type="default" r:id="rId13"/>
      <w:pgSz w:w="11907" w:h="16839" w:code="9"/>
      <w:pgMar w:top="1021" w:right="1134" w:bottom="90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F51D1" w14:textId="77777777" w:rsidR="00D67AAA" w:rsidRDefault="00D67AAA" w:rsidP="006A1AF2">
      <w:pPr>
        <w:spacing w:after="0" w:line="240" w:lineRule="auto"/>
      </w:pPr>
      <w:r>
        <w:separator/>
      </w:r>
    </w:p>
  </w:endnote>
  <w:endnote w:type="continuationSeparator" w:id="0">
    <w:p w14:paraId="2DDF7D92" w14:textId="77777777" w:rsidR="00D67AAA" w:rsidRDefault="00D67AAA" w:rsidP="006A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35316906"/>
      <w:docPartObj>
        <w:docPartGallery w:val="Page Numbers (Bottom of Page)"/>
        <w:docPartUnique/>
      </w:docPartObj>
    </w:sdtPr>
    <w:sdtEndPr>
      <w:rPr>
        <w:noProof/>
        <w:sz w:val="28"/>
        <w:szCs w:val="28"/>
      </w:rPr>
    </w:sdtEndPr>
    <w:sdtContent>
      <w:p w14:paraId="24F197CD" w14:textId="5D8B97D0" w:rsidR="003C05BC" w:rsidRPr="00467936" w:rsidRDefault="003C05BC" w:rsidP="00467936">
        <w:pPr>
          <w:pStyle w:val="Footer"/>
          <w:jc w:val="center"/>
          <w:rPr>
            <w:rFonts w:ascii="Times New Roman" w:hAnsi="Times New Roman" w:cs="Times New Roman"/>
            <w:sz w:val="28"/>
            <w:szCs w:val="28"/>
          </w:rPr>
        </w:pPr>
        <w:r w:rsidRPr="00467936">
          <w:rPr>
            <w:rFonts w:ascii="Times New Roman" w:hAnsi="Times New Roman" w:cs="Times New Roman"/>
            <w:sz w:val="28"/>
            <w:szCs w:val="28"/>
          </w:rPr>
          <w:fldChar w:fldCharType="begin"/>
        </w:r>
        <w:r w:rsidRPr="00467936">
          <w:rPr>
            <w:rFonts w:ascii="Times New Roman" w:hAnsi="Times New Roman" w:cs="Times New Roman"/>
            <w:sz w:val="28"/>
            <w:szCs w:val="28"/>
          </w:rPr>
          <w:instrText xml:space="preserve"> PAGE   \* MERGEFORMAT </w:instrText>
        </w:r>
        <w:r w:rsidRPr="00467936">
          <w:rPr>
            <w:rFonts w:ascii="Times New Roman" w:hAnsi="Times New Roman" w:cs="Times New Roman"/>
            <w:sz w:val="28"/>
            <w:szCs w:val="28"/>
          </w:rPr>
          <w:fldChar w:fldCharType="separate"/>
        </w:r>
        <w:r w:rsidR="008B1D4A">
          <w:rPr>
            <w:rFonts w:ascii="Times New Roman" w:hAnsi="Times New Roman" w:cs="Times New Roman"/>
            <w:noProof/>
            <w:sz w:val="28"/>
            <w:szCs w:val="28"/>
          </w:rPr>
          <w:t>20</w:t>
        </w:r>
        <w:r w:rsidRPr="00467936">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EC035" w14:textId="77777777" w:rsidR="00D67AAA" w:rsidRDefault="00D67AAA" w:rsidP="006A1AF2">
      <w:pPr>
        <w:spacing w:after="0" w:line="240" w:lineRule="auto"/>
      </w:pPr>
      <w:r>
        <w:separator/>
      </w:r>
    </w:p>
  </w:footnote>
  <w:footnote w:type="continuationSeparator" w:id="0">
    <w:p w14:paraId="1A1D7E9A" w14:textId="77777777" w:rsidR="00D67AAA" w:rsidRDefault="00D67AAA" w:rsidP="006A1AF2">
      <w:pPr>
        <w:spacing w:after="0" w:line="240" w:lineRule="auto"/>
      </w:pPr>
      <w:r>
        <w:continuationSeparator/>
      </w:r>
    </w:p>
  </w:footnote>
  <w:footnote w:id="1">
    <w:p w14:paraId="2C155AAC" w14:textId="12AB310A" w:rsidR="00A667D3" w:rsidRPr="00A667D3" w:rsidRDefault="00A667D3" w:rsidP="00A667D3">
      <w:pPr>
        <w:pStyle w:val="FootnoteText"/>
        <w:jc w:val="both"/>
        <w:rPr>
          <w:rFonts w:ascii="Times New Roman" w:hAnsi="Times New Roman" w:cs="Times New Roman"/>
        </w:rPr>
      </w:pPr>
      <w:r w:rsidRPr="00A667D3">
        <w:rPr>
          <w:rStyle w:val="FootnoteReference"/>
          <w:rFonts w:ascii="Times New Roman" w:hAnsi="Times New Roman" w:cs="Times New Roman"/>
        </w:rPr>
        <w:footnoteRef/>
      </w:r>
      <w:r w:rsidR="00C248F4">
        <w:rPr>
          <w:rFonts w:ascii="Times New Roman" w:hAnsi="Times New Roman" w:cs="Times New Roman"/>
        </w:rPr>
        <w:t xml:space="preserve"> </w:t>
      </w:r>
      <w:r w:rsidR="002C0777">
        <w:rPr>
          <w:rFonts w:ascii="Times New Roman" w:hAnsi="Times New Roman" w:cs="Times New Roman"/>
        </w:rPr>
        <w:t>“Hai mới”</w:t>
      </w:r>
      <w:r w:rsidR="00C248F4">
        <w:rPr>
          <w:rFonts w:ascii="Times New Roman" w:hAnsi="Times New Roman" w:cs="Times New Roman"/>
        </w:rPr>
        <w:t xml:space="preserve"> là</w:t>
      </w:r>
      <w:r w:rsidRPr="00A667D3">
        <w:rPr>
          <w:rFonts w:ascii="Times New Roman" w:hAnsi="Times New Roman" w:cs="Times New Roman"/>
        </w:rPr>
        <w:t xml:space="preserve"> nhu cầu mới và tiêu dùng mới, thúc đẩy và kích thích tiêu dùng thông qua đổi mới sản phẩm và mô hình kinh doanh.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7006"/>
    <w:multiLevelType w:val="hybridMultilevel"/>
    <w:tmpl w:val="C18A6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F7FD9"/>
    <w:multiLevelType w:val="multilevel"/>
    <w:tmpl w:val="609F7FD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E3B740C"/>
    <w:multiLevelType w:val="hybridMultilevel"/>
    <w:tmpl w:val="97B43B3C"/>
    <w:lvl w:ilvl="0" w:tplc="683434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78"/>
    <w:rsid w:val="000027AF"/>
    <w:rsid w:val="0000305D"/>
    <w:rsid w:val="000030F0"/>
    <w:rsid w:val="00006512"/>
    <w:rsid w:val="000065A6"/>
    <w:rsid w:val="000075C0"/>
    <w:rsid w:val="000078E8"/>
    <w:rsid w:val="000106BE"/>
    <w:rsid w:val="00011D66"/>
    <w:rsid w:val="00012BC6"/>
    <w:rsid w:val="000132FB"/>
    <w:rsid w:val="00013529"/>
    <w:rsid w:val="000142EC"/>
    <w:rsid w:val="00016C43"/>
    <w:rsid w:val="00017833"/>
    <w:rsid w:val="0002350E"/>
    <w:rsid w:val="00025F50"/>
    <w:rsid w:val="000318C2"/>
    <w:rsid w:val="00032ED9"/>
    <w:rsid w:val="0003580C"/>
    <w:rsid w:val="0003584C"/>
    <w:rsid w:val="00036CC9"/>
    <w:rsid w:val="00037415"/>
    <w:rsid w:val="0003771D"/>
    <w:rsid w:val="0004254C"/>
    <w:rsid w:val="0004324C"/>
    <w:rsid w:val="00045377"/>
    <w:rsid w:val="00053784"/>
    <w:rsid w:val="00054F3D"/>
    <w:rsid w:val="0005531D"/>
    <w:rsid w:val="0005559E"/>
    <w:rsid w:val="00056B9E"/>
    <w:rsid w:val="00056ED3"/>
    <w:rsid w:val="000571AB"/>
    <w:rsid w:val="0006087A"/>
    <w:rsid w:val="00060A86"/>
    <w:rsid w:val="00060D0A"/>
    <w:rsid w:val="00061376"/>
    <w:rsid w:val="00061CA5"/>
    <w:rsid w:val="000631C3"/>
    <w:rsid w:val="00063DCB"/>
    <w:rsid w:val="00064650"/>
    <w:rsid w:val="000665BB"/>
    <w:rsid w:val="00070543"/>
    <w:rsid w:val="00073BE6"/>
    <w:rsid w:val="00073FA8"/>
    <w:rsid w:val="00081717"/>
    <w:rsid w:val="00081866"/>
    <w:rsid w:val="000828E9"/>
    <w:rsid w:val="00084E26"/>
    <w:rsid w:val="000866E8"/>
    <w:rsid w:val="000947F9"/>
    <w:rsid w:val="00094B99"/>
    <w:rsid w:val="00095072"/>
    <w:rsid w:val="000951C3"/>
    <w:rsid w:val="000966EC"/>
    <w:rsid w:val="00097249"/>
    <w:rsid w:val="000A2360"/>
    <w:rsid w:val="000A62EC"/>
    <w:rsid w:val="000A68D1"/>
    <w:rsid w:val="000A7447"/>
    <w:rsid w:val="000A7AAD"/>
    <w:rsid w:val="000B1EB2"/>
    <w:rsid w:val="000B25C4"/>
    <w:rsid w:val="000B2629"/>
    <w:rsid w:val="000C11DF"/>
    <w:rsid w:val="000C1840"/>
    <w:rsid w:val="000C194B"/>
    <w:rsid w:val="000C318C"/>
    <w:rsid w:val="000C40E0"/>
    <w:rsid w:val="000C539D"/>
    <w:rsid w:val="000C5B0A"/>
    <w:rsid w:val="000C62B7"/>
    <w:rsid w:val="000C747C"/>
    <w:rsid w:val="000C7F7D"/>
    <w:rsid w:val="000D0CFA"/>
    <w:rsid w:val="000D0D8D"/>
    <w:rsid w:val="000D158D"/>
    <w:rsid w:val="000D1C12"/>
    <w:rsid w:val="000D3979"/>
    <w:rsid w:val="000D3B89"/>
    <w:rsid w:val="000D49C1"/>
    <w:rsid w:val="000D4F12"/>
    <w:rsid w:val="000D4F90"/>
    <w:rsid w:val="000D601E"/>
    <w:rsid w:val="000E06AE"/>
    <w:rsid w:val="000E0761"/>
    <w:rsid w:val="000E154C"/>
    <w:rsid w:val="000E2E86"/>
    <w:rsid w:val="000E3327"/>
    <w:rsid w:val="000E7508"/>
    <w:rsid w:val="000F2268"/>
    <w:rsid w:val="000F41FE"/>
    <w:rsid w:val="000F4771"/>
    <w:rsid w:val="000F4A5A"/>
    <w:rsid w:val="000F514C"/>
    <w:rsid w:val="000F61D3"/>
    <w:rsid w:val="000F6B82"/>
    <w:rsid w:val="000F7695"/>
    <w:rsid w:val="00100E88"/>
    <w:rsid w:val="00103410"/>
    <w:rsid w:val="001040A6"/>
    <w:rsid w:val="0010451A"/>
    <w:rsid w:val="00107B67"/>
    <w:rsid w:val="0011132B"/>
    <w:rsid w:val="001129AE"/>
    <w:rsid w:val="001155EB"/>
    <w:rsid w:val="00115E8C"/>
    <w:rsid w:val="0011775E"/>
    <w:rsid w:val="00120449"/>
    <w:rsid w:val="00121012"/>
    <w:rsid w:val="001210E6"/>
    <w:rsid w:val="00121CA1"/>
    <w:rsid w:val="001246B9"/>
    <w:rsid w:val="001251DB"/>
    <w:rsid w:val="00125C30"/>
    <w:rsid w:val="00126E7A"/>
    <w:rsid w:val="00127CE4"/>
    <w:rsid w:val="00132DB2"/>
    <w:rsid w:val="001335E3"/>
    <w:rsid w:val="00133652"/>
    <w:rsid w:val="001338AE"/>
    <w:rsid w:val="00133BD0"/>
    <w:rsid w:val="001354FB"/>
    <w:rsid w:val="00140408"/>
    <w:rsid w:val="00141FF5"/>
    <w:rsid w:val="0014246B"/>
    <w:rsid w:val="00143170"/>
    <w:rsid w:val="0014515A"/>
    <w:rsid w:val="00145CE3"/>
    <w:rsid w:val="00145E8D"/>
    <w:rsid w:val="001515EB"/>
    <w:rsid w:val="00153599"/>
    <w:rsid w:val="00153DEA"/>
    <w:rsid w:val="00155559"/>
    <w:rsid w:val="00155670"/>
    <w:rsid w:val="001558E4"/>
    <w:rsid w:val="001574DB"/>
    <w:rsid w:val="00160E5D"/>
    <w:rsid w:val="00161B87"/>
    <w:rsid w:val="0017139E"/>
    <w:rsid w:val="001747D8"/>
    <w:rsid w:val="00176395"/>
    <w:rsid w:val="0018029F"/>
    <w:rsid w:val="001804DF"/>
    <w:rsid w:val="001815C6"/>
    <w:rsid w:val="00183DC4"/>
    <w:rsid w:val="00184543"/>
    <w:rsid w:val="001849A3"/>
    <w:rsid w:val="00184D4C"/>
    <w:rsid w:val="00186D9B"/>
    <w:rsid w:val="00187C6B"/>
    <w:rsid w:val="0019195E"/>
    <w:rsid w:val="00194794"/>
    <w:rsid w:val="00195C49"/>
    <w:rsid w:val="00196D6E"/>
    <w:rsid w:val="001973BC"/>
    <w:rsid w:val="001A03CC"/>
    <w:rsid w:val="001A09B8"/>
    <w:rsid w:val="001A0BF8"/>
    <w:rsid w:val="001A1B30"/>
    <w:rsid w:val="001A65FD"/>
    <w:rsid w:val="001A6BC4"/>
    <w:rsid w:val="001A7BE4"/>
    <w:rsid w:val="001B00D6"/>
    <w:rsid w:val="001B0433"/>
    <w:rsid w:val="001B0650"/>
    <w:rsid w:val="001B0A01"/>
    <w:rsid w:val="001B1581"/>
    <w:rsid w:val="001B3933"/>
    <w:rsid w:val="001B5522"/>
    <w:rsid w:val="001B56F5"/>
    <w:rsid w:val="001B5A2C"/>
    <w:rsid w:val="001B5D5C"/>
    <w:rsid w:val="001B6AEC"/>
    <w:rsid w:val="001C0599"/>
    <w:rsid w:val="001C2CDF"/>
    <w:rsid w:val="001C3F57"/>
    <w:rsid w:val="001C74D0"/>
    <w:rsid w:val="001D0B07"/>
    <w:rsid w:val="001D22C1"/>
    <w:rsid w:val="001D4F1F"/>
    <w:rsid w:val="001D4F30"/>
    <w:rsid w:val="001D5FC0"/>
    <w:rsid w:val="001D6322"/>
    <w:rsid w:val="001D70A8"/>
    <w:rsid w:val="001D7543"/>
    <w:rsid w:val="001D77A6"/>
    <w:rsid w:val="001E1506"/>
    <w:rsid w:val="001E1DDE"/>
    <w:rsid w:val="001E25BB"/>
    <w:rsid w:val="001E2AB9"/>
    <w:rsid w:val="001E2ACB"/>
    <w:rsid w:val="001E2AF3"/>
    <w:rsid w:val="001E2C32"/>
    <w:rsid w:val="001E3A90"/>
    <w:rsid w:val="001E4911"/>
    <w:rsid w:val="001E5524"/>
    <w:rsid w:val="001E7889"/>
    <w:rsid w:val="001F00DB"/>
    <w:rsid w:val="001F2B72"/>
    <w:rsid w:val="001F38CB"/>
    <w:rsid w:val="001F4AAB"/>
    <w:rsid w:val="001F5E0B"/>
    <w:rsid w:val="001F6DEB"/>
    <w:rsid w:val="001F7AC4"/>
    <w:rsid w:val="001F7B90"/>
    <w:rsid w:val="002019E8"/>
    <w:rsid w:val="00202C47"/>
    <w:rsid w:val="00203AEF"/>
    <w:rsid w:val="00204BB4"/>
    <w:rsid w:val="00205233"/>
    <w:rsid w:val="00205570"/>
    <w:rsid w:val="00206A02"/>
    <w:rsid w:val="002126A2"/>
    <w:rsid w:val="00214029"/>
    <w:rsid w:val="00215EE8"/>
    <w:rsid w:val="00220A44"/>
    <w:rsid w:val="00221D10"/>
    <w:rsid w:val="00223763"/>
    <w:rsid w:val="002330EC"/>
    <w:rsid w:val="00233279"/>
    <w:rsid w:val="002335C7"/>
    <w:rsid w:val="00236705"/>
    <w:rsid w:val="0024298A"/>
    <w:rsid w:val="00243BAB"/>
    <w:rsid w:val="00244280"/>
    <w:rsid w:val="00245EDD"/>
    <w:rsid w:val="0025219E"/>
    <w:rsid w:val="002527A9"/>
    <w:rsid w:val="0025412F"/>
    <w:rsid w:val="002556BC"/>
    <w:rsid w:val="002567AC"/>
    <w:rsid w:val="002601A5"/>
    <w:rsid w:val="00260A7D"/>
    <w:rsid w:val="00263682"/>
    <w:rsid w:val="00263FD6"/>
    <w:rsid w:val="00264046"/>
    <w:rsid w:val="0026581B"/>
    <w:rsid w:val="00265C6F"/>
    <w:rsid w:val="00266DAA"/>
    <w:rsid w:val="00267CD0"/>
    <w:rsid w:val="00271D46"/>
    <w:rsid w:val="00271E0C"/>
    <w:rsid w:val="00271EBE"/>
    <w:rsid w:val="002742B4"/>
    <w:rsid w:val="0027555C"/>
    <w:rsid w:val="0027767B"/>
    <w:rsid w:val="00282A75"/>
    <w:rsid w:val="00283B8E"/>
    <w:rsid w:val="00290168"/>
    <w:rsid w:val="00290E96"/>
    <w:rsid w:val="00291A0D"/>
    <w:rsid w:val="00292B69"/>
    <w:rsid w:val="00294BBF"/>
    <w:rsid w:val="002956C6"/>
    <w:rsid w:val="00296E49"/>
    <w:rsid w:val="002A0D87"/>
    <w:rsid w:val="002A1140"/>
    <w:rsid w:val="002A180B"/>
    <w:rsid w:val="002A1B08"/>
    <w:rsid w:val="002A22AD"/>
    <w:rsid w:val="002A23F7"/>
    <w:rsid w:val="002A3C57"/>
    <w:rsid w:val="002A4018"/>
    <w:rsid w:val="002A50A2"/>
    <w:rsid w:val="002A57F5"/>
    <w:rsid w:val="002A59ED"/>
    <w:rsid w:val="002A6F54"/>
    <w:rsid w:val="002A7491"/>
    <w:rsid w:val="002B056F"/>
    <w:rsid w:val="002B17C7"/>
    <w:rsid w:val="002B28EF"/>
    <w:rsid w:val="002B4FBF"/>
    <w:rsid w:val="002C0136"/>
    <w:rsid w:val="002C0777"/>
    <w:rsid w:val="002C0B32"/>
    <w:rsid w:val="002C409A"/>
    <w:rsid w:val="002D188B"/>
    <w:rsid w:val="002D248B"/>
    <w:rsid w:val="002D304D"/>
    <w:rsid w:val="002D3126"/>
    <w:rsid w:val="002D5445"/>
    <w:rsid w:val="002D555B"/>
    <w:rsid w:val="002D70E3"/>
    <w:rsid w:val="002E0F11"/>
    <w:rsid w:val="002E1295"/>
    <w:rsid w:val="002E40CC"/>
    <w:rsid w:val="002E4EA8"/>
    <w:rsid w:val="002E505A"/>
    <w:rsid w:val="002E5419"/>
    <w:rsid w:val="002E641C"/>
    <w:rsid w:val="002F0BFC"/>
    <w:rsid w:val="002F3FD9"/>
    <w:rsid w:val="002F55F8"/>
    <w:rsid w:val="002F68BE"/>
    <w:rsid w:val="002F7859"/>
    <w:rsid w:val="0030113B"/>
    <w:rsid w:val="00302372"/>
    <w:rsid w:val="00305DD8"/>
    <w:rsid w:val="003106CB"/>
    <w:rsid w:val="00311BF3"/>
    <w:rsid w:val="00313780"/>
    <w:rsid w:val="00313EE4"/>
    <w:rsid w:val="00314E40"/>
    <w:rsid w:val="00316075"/>
    <w:rsid w:val="00320368"/>
    <w:rsid w:val="00321B6B"/>
    <w:rsid w:val="00324140"/>
    <w:rsid w:val="003334DF"/>
    <w:rsid w:val="00336BD0"/>
    <w:rsid w:val="00337901"/>
    <w:rsid w:val="00337931"/>
    <w:rsid w:val="0034230C"/>
    <w:rsid w:val="00342A0C"/>
    <w:rsid w:val="00342DAD"/>
    <w:rsid w:val="00343989"/>
    <w:rsid w:val="003440D7"/>
    <w:rsid w:val="00344A46"/>
    <w:rsid w:val="00344FC4"/>
    <w:rsid w:val="003453FC"/>
    <w:rsid w:val="003471E4"/>
    <w:rsid w:val="00351F22"/>
    <w:rsid w:val="003526FE"/>
    <w:rsid w:val="00355CB4"/>
    <w:rsid w:val="00357625"/>
    <w:rsid w:val="003609C8"/>
    <w:rsid w:val="00361149"/>
    <w:rsid w:val="00364889"/>
    <w:rsid w:val="00364CF7"/>
    <w:rsid w:val="003663DE"/>
    <w:rsid w:val="0036761B"/>
    <w:rsid w:val="003678BB"/>
    <w:rsid w:val="00371D62"/>
    <w:rsid w:val="00373970"/>
    <w:rsid w:val="0037433B"/>
    <w:rsid w:val="003744B5"/>
    <w:rsid w:val="00374F54"/>
    <w:rsid w:val="003755A5"/>
    <w:rsid w:val="003809E0"/>
    <w:rsid w:val="0038123E"/>
    <w:rsid w:val="00381839"/>
    <w:rsid w:val="0038392E"/>
    <w:rsid w:val="00384F72"/>
    <w:rsid w:val="00385CFA"/>
    <w:rsid w:val="00385EEF"/>
    <w:rsid w:val="00386098"/>
    <w:rsid w:val="003864AC"/>
    <w:rsid w:val="00386CCF"/>
    <w:rsid w:val="00392F9A"/>
    <w:rsid w:val="00393741"/>
    <w:rsid w:val="00393942"/>
    <w:rsid w:val="00393BAA"/>
    <w:rsid w:val="0039522D"/>
    <w:rsid w:val="00396684"/>
    <w:rsid w:val="0039797C"/>
    <w:rsid w:val="003A6524"/>
    <w:rsid w:val="003A7D5B"/>
    <w:rsid w:val="003B0F79"/>
    <w:rsid w:val="003B49CD"/>
    <w:rsid w:val="003C05BC"/>
    <w:rsid w:val="003C0CA9"/>
    <w:rsid w:val="003C0F4D"/>
    <w:rsid w:val="003C1000"/>
    <w:rsid w:val="003C3C59"/>
    <w:rsid w:val="003C3CEA"/>
    <w:rsid w:val="003C3D54"/>
    <w:rsid w:val="003C6365"/>
    <w:rsid w:val="003C70B3"/>
    <w:rsid w:val="003C779D"/>
    <w:rsid w:val="003D06E1"/>
    <w:rsid w:val="003D2B78"/>
    <w:rsid w:val="003D429A"/>
    <w:rsid w:val="003D4A82"/>
    <w:rsid w:val="003D5086"/>
    <w:rsid w:val="003D6A2C"/>
    <w:rsid w:val="003D7E5A"/>
    <w:rsid w:val="003E169D"/>
    <w:rsid w:val="003E1A10"/>
    <w:rsid w:val="003E1FDD"/>
    <w:rsid w:val="003E23B2"/>
    <w:rsid w:val="003E365A"/>
    <w:rsid w:val="003E4076"/>
    <w:rsid w:val="003F1F16"/>
    <w:rsid w:val="003F6F56"/>
    <w:rsid w:val="004028B4"/>
    <w:rsid w:val="00402B82"/>
    <w:rsid w:val="00407923"/>
    <w:rsid w:val="0041019E"/>
    <w:rsid w:val="00410530"/>
    <w:rsid w:val="00410F52"/>
    <w:rsid w:val="004128B1"/>
    <w:rsid w:val="00414E73"/>
    <w:rsid w:val="00415C17"/>
    <w:rsid w:val="00415C23"/>
    <w:rsid w:val="004164BF"/>
    <w:rsid w:val="00420D5F"/>
    <w:rsid w:val="00420DA5"/>
    <w:rsid w:val="0042369C"/>
    <w:rsid w:val="00424DE4"/>
    <w:rsid w:val="00425009"/>
    <w:rsid w:val="00432CD9"/>
    <w:rsid w:val="00432F8F"/>
    <w:rsid w:val="0043320D"/>
    <w:rsid w:val="00433966"/>
    <w:rsid w:val="00433F30"/>
    <w:rsid w:val="00433FF5"/>
    <w:rsid w:val="00441B2D"/>
    <w:rsid w:val="00441E30"/>
    <w:rsid w:val="0044285E"/>
    <w:rsid w:val="0044331B"/>
    <w:rsid w:val="0044395B"/>
    <w:rsid w:val="00445942"/>
    <w:rsid w:val="00445EA1"/>
    <w:rsid w:val="00446528"/>
    <w:rsid w:val="004522B0"/>
    <w:rsid w:val="004522D7"/>
    <w:rsid w:val="0045244F"/>
    <w:rsid w:val="0045425F"/>
    <w:rsid w:val="00455401"/>
    <w:rsid w:val="00456535"/>
    <w:rsid w:val="0045792D"/>
    <w:rsid w:val="00457F7B"/>
    <w:rsid w:val="00457FF8"/>
    <w:rsid w:val="00460F75"/>
    <w:rsid w:val="00461314"/>
    <w:rsid w:val="004614F7"/>
    <w:rsid w:val="0046156A"/>
    <w:rsid w:val="00461929"/>
    <w:rsid w:val="00462555"/>
    <w:rsid w:val="0046348C"/>
    <w:rsid w:val="00464B0A"/>
    <w:rsid w:val="00464E1A"/>
    <w:rsid w:val="00465ACC"/>
    <w:rsid w:val="00466173"/>
    <w:rsid w:val="00467936"/>
    <w:rsid w:val="00470109"/>
    <w:rsid w:val="00471E7E"/>
    <w:rsid w:val="0047240C"/>
    <w:rsid w:val="00474A9C"/>
    <w:rsid w:val="0048245B"/>
    <w:rsid w:val="00483ACB"/>
    <w:rsid w:val="00485078"/>
    <w:rsid w:val="00490AFD"/>
    <w:rsid w:val="00492AA2"/>
    <w:rsid w:val="00493657"/>
    <w:rsid w:val="004939C9"/>
    <w:rsid w:val="0049560B"/>
    <w:rsid w:val="004A1173"/>
    <w:rsid w:val="004A1E28"/>
    <w:rsid w:val="004A25DE"/>
    <w:rsid w:val="004A4DB2"/>
    <w:rsid w:val="004A5002"/>
    <w:rsid w:val="004A5A4D"/>
    <w:rsid w:val="004A6F6B"/>
    <w:rsid w:val="004A7151"/>
    <w:rsid w:val="004A7AB6"/>
    <w:rsid w:val="004B00E2"/>
    <w:rsid w:val="004B0847"/>
    <w:rsid w:val="004B30FE"/>
    <w:rsid w:val="004B3457"/>
    <w:rsid w:val="004B4594"/>
    <w:rsid w:val="004B621A"/>
    <w:rsid w:val="004B63C6"/>
    <w:rsid w:val="004B66E7"/>
    <w:rsid w:val="004B6CCF"/>
    <w:rsid w:val="004B6E89"/>
    <w:rsid w:val="004B6F9F"/>
    <w:rsid w:val="004C0C85"/>
    <w:rsid w:val="004C148D"/>
    <w:rsid w:val="004C1F64"/>
    <w:rsid w:val="004C3074"/>
    <w:rsid w:val="004C32EF"/>
    <w:rsid w:val="004C38A3"/>
    <w:rsid w:val="004C3EF0"/>
    <w:rsid w:val="004C685B"/>
    <w:rsid w:val="004C6F64"/>
    <w:rsid w:val="004D03E8"/>
    <w:rsid w:val="004D102B"/>
    <w:rsid w:val="004D2A0C"/>
    <w:rsid w:val="004D2C09"/>
    <w:rsid w:val="004D44FB"/>
    <w:rsid w:val="004D519B"/>
    <w:rsid w:val="004D53D2"/>
    <w:rsid w:val="004D59FA"/>
    <w:rsid w:val="004D615D"/>
    <w:rsid w:val="004D6824"/>
    <w:rsid w:val="004E01D4"/>
    <w:rsid w:val="004E0ECE"/>
    <w:rsid w:val="004E1D0B"/>
    <w:rsid w:val="004E6709"/>
    <w:rsid w:val="004E7173"/>
    <w:rsid w:val="004E73A2"/>
    <w:rsid w:val="004F69DD"/>
    <w:rsid w:val="005010FB"/>
    <w:rsid w:val="00502BB6"/>
    <w:rsid w:val="00503429"/>
    <w:rsid w:val="00503D98"/>
    <w:rsid w:val="00503E6E"/>
    <w:rsid w:val="00505BC7"/>
    <w:rsid w:val="0050767C"/>
    <w:rsid w:val="00510D51"/>
    <w:rsid w:val="00511522"/>
    <w:rsid w:val="00511667"/>
    <w:rsid w:val="005136D7"/>
    <w:rsid w:val="00513C1C"/>
    <w:rsid w:val="005202E9"/>
    <w:rsid w:val="005209ED"/>
    <w:rsid w:val="00521450"/>
    <w:rsid w:val="005219A6"/>
    <w:rsid w:val="00523B17"/>
    <w:rsid w:val="00524FB1"/>
    <w:rsid w:val="005250CF"/>
    <w:rsid w:val="005257C7"/>
    <w:rsid w:val="0052586D"/>
    <w:rsid w:val="00525AA5"/>
    <w:rsid w:val="00526815"/>
    <w:rsid w:val="00526BD7"/>
    <w:rsid w:val="00527C30"/>
    <w:rsid w:val="005300E2"/>
    <w:rsid w:val="00530BD4"/>
    <w:rsid w:val="00531958"/>
    <w:rsid w:val="00531E12"/>
    <w:rsid w:val="00532F25"/>
    <w:rsid w:val="0053344A"/>
    <w:rsid w:val="00533B6C"/>
    <w:rsid w:val="00533B6F"/>
    <w:rsid w:val="005356DA"/>
    <w:rsid w:val="0053792E"/>
    <w:rsid w:val="005379B2"/>
    <w:rsid w:val="00540224"/>
    <w:rsid w:val="005414BD"/>
    <w:rsid w:val="00541BCC"/>
    <w:rsid w:val="0054374B"/>
    <w:rsid w:val="005439B4"/>
    <w:rsid w:val="00547804"/>
    <w:rsid w:val="0054798F"/>
    <w:rsid w:val="005507DB"/>
    <w:rsid w:val="00550800"/>
    <w:rsid w:val="00551A8E"/>
    <w:rsid w:val="00552B9E"/>
    <w:rsid w:val="0055430E"/>
    <w:rsid w:val="0055533F"/>
    <w:rsid w:val="0055681D"/>
    <w:rsid w:val="00556A19"/>
    <w:rsid w:val="0056003B"/>
    <w:rsid w:val="00560600"/>
    <w:rsid w:val="00563610"/>
    <w:rsid w:val="00564071"/>
    <w:rsid w:val="00564CC1"/>
    <w:rsid w:val="00564DF8"/>
    <w:rsid w:val="00565057"/>
    <w:rsid w:val="00566769"/>
    <w:rsid w:val="00566B21"/>
    <w:rsid w:val="00566B9F"/>
    <w:rsid w:val="00570AAE"/>
    <w:rsid w:val="00572202"/>
    <w:rsid w:val="0057442C"/>
    <w:rsid w:val="00574911"/>
    <w:rsid w:val="0057563D"/>
    <w:rsid w:val="00575BC9"/>
    <w:rsid w:val="00577167"/>
    <w:rsid w:val="0057760D"/>
    <w:rsid w:val="005777E3"/>
    <w:rsid w:val="005809BB"/>
    <w:rsid w:val="00581148"/>
    <w:rsid w:val="0058239B"/>
    <w:rsid w:val="00582CB4"/>
    <w:rsid w:val="00582EFA"/>
    <w:rsid w:val="005860D4"/>
    <w:rsid w:val="00587573"/>
    <w:rsid w:val="00591881"/>
    <w:rsid w:val="00593250"/>
    <w:rsid w:val="005938AA"/>
    <w:rsid w:val="00594D0F"/>
    <w:rsid w:val="00597BFE"/>
    <w:rsid w:val="005A0756"/>
    <w:rsid w:val="005A0DE0"/>
    <w:rsid w:val="005A125A"/>
    <w:rsid w:val="005A3695"/>
    <w:rsid w:val="005A3BBB"/>
    <w:rsid w:val="005A5D97"/>
    <w:rsid w:val="005A70F0"/>
    <w:rsid w:val="005A7A0E"/>
    <w:rsid w:val="005A7AA8"/>
    <w:rsid w:val="005A7D29"/>
    <w:rsid w:val="005B07A4"/>
    <w:rsid w:val="005B2116"/>
    <w:rsid w:val="005B513E"/>
    <w:rsid w:val="005B6C35"/>
    <w:rsid w:val="005B7984"/>
    <w:rsid w:val="005B7F54"/>
    <w:rsid w:val="005C26D5"/>
    <w:rsid w:val="005C2A9A"/>
    <w:rsid w:val="005C5A66"/>
    <w:rsid w:val="005C5F6E"/>
    <w:rsid w:val="005C6FCD"/>
    <w:rsid w:val="005D0A5D"/>
    <w:rsid w:val="005D15A8"/>
    <w:rsid w:val="005D16FF"/>
    <w:rsid w:val="005D5E96"/>
    <w:rsid w:val="005D70FA"/>
    <w:rsid w:val="005D7D06"/>
    <w:rsid w:val="005E06D4"/>
    <w:rsid w:val="005E41CD"/>
    <w:rsid w:val="005E4C57"/>
    <w:rsid w:val="005E64FA"/>
    <w:rsid w:val="005E65E9"/>
    <w:rsid w:val="005F04D1"/>
    <w:rsid w:val="005F1249"/>
    <w:rsid w:val="005F1525"/>
    <w:rsid w:val="005F28E1"/>
    <w:rsid w:val="005F7EB6"/>
    <w:rsid w:val="00601100"/>
    <w:rsid w:val="006013A3"/>
    <w:rsid w:val="00604FB3"/>
    <w:rsid w:val="00605866"/>
    <w:rsid w:val="006064AA"/>
    <w:rsid w:val="00606C7F"/>
    <w:rsid w:val="00607204"/>
    <w:rsid w:val="006076EA"/>
    <w:rsid w:val="00610D5F"/>
    <w:rsid w:val="00612616"/>
    <w:rsid w:val="00614AE1"/>
    <w:rsid w:val="00615674"/>
    <w:rsid w:val="006176A5"/>
    <w:rsid w:val="00623858"/>
    <w:rsid w:val="00627E56"/>
    <w:rsid w:val="00630214"/>
    <w:rsid w:val="00630470"/>
    <w:rsid w:val="0063198D"/>
    <w:rsid w:val="00631A6A"/>
    <w:rsid w:val="006333CD"/>
    <w:rsid w:val="006361EE"/>
    <w:rsid w:val="00640266"/>
    <w:rsid w:val="0064035A"/>
    <w:rsid w:val="006405AD"/>
    <w:rsid w:val="00642958"/>
    <w:rsid w:val="0064467F"/>
    <w:rsid w:val="00646811"/>
    <w:rsid w:val="00646A5C"/>
    <w:rsid w:val="00647113"/>
    <w:rsid w:val="0064723F"/>
    <w:rsid w:val="00647A43"/>
    <w:rsid w:val="00650509"/>
    <w:rsid w:val="006511C0"/>
    <w:rsid w:val="00651A79"/>
    <w:rsid w:val="00652FD0"/>
    <w:rsid w:val="00653004"/>
    <w:rsid w:val="00653167"/>
    <w:rsid w:val="00653CF5"/>
    <w:rsid w:val="0065517A"/>
    <w:rsid w:val="0065567B"/>
    <w:rsid w:val="006557BD"/>
    <w:rsid w:val="00655948"/>
    <w:rsid w:val="00656CD4"/>
    <w:rsid w:val="0066004D"/>
    <w:rsid w:val="00660B46"/>
    <w:rsid w:val="006638D4"/>
    <w:rsid w:val="00663E92"/>
    <w:rsid w:val="006643CB"/>
    <w:rsid w:val="006650D5"/>
    <w:rsid w:val="00666769"/>
    <w:rsid w:val="00667C5C"/>
    <w:rsid w:val="00672650"/>
    <w:rsid w:val="00674E68"/>
    <w:rsid w:val="006758A2"/>
    <w:rsid w:val="00675B18"/>
    <w:rsid w:val="00676DCF"/>
    <w:rsid w:val="00681E75"/>
    <w:rsid w:val="00682140"/>
    <w:rsid w:val="00686CD3"/>
    <w:rsid w:val="00687AB2"/>
    <w:rsid w:val="0069076E"/>
    <w:rsid w:val="00691169"/>
    <w:rsid w:val="0069359B"/>
    <w:rsid w:val="006954CA"/>
    <w:rsid w:val="006955EE"/>
    <w:rsid w:val="0069624F"/>
    <w:rsid w:val="006A1AF2"/>
    <w:rsid w:val="006A2089"/>
    <w:rsid w:val="006A3029"/>
    <w:rsid w:val="006A340A"/>
    <w:rsid w:val="006A4B68"/>
    <w:rsid w:val="006A7EDE"/>
    <w:rsid w:val="006B1995"/>
    <w:rsid w:val="006B22C8"/>
    <w:rsid w:val="006B36A5"/>
    <w:rsid w:val="006B4935"/>
    <w:rsid w:val="006B5FBA"/>
    <w:rsid w:val="006B652D"/>
    <w:rsid w:val="006B6A28"/>
    <w:rsid w:val="006B7355"/>
    <w:rsid w:val="006C0234"/>
    <w:rsid w:val="006C167E"/>
    <w:rsid w:val="006C46BA"/>
    <w:rsid w:val="006C4EF3"/>
    <w:rsid w:val="006C50D7"/>
    <w:rsid w:val="006C6427"/>
    <w:rsid w:val="006D1F62"/>
    <w:rsid w:val="006D32E2"/>
    <w:rsid w:val="006D4C57"/>
    <w:rsid w:val="006E0734"/>
    <w:rsid w:val="006E2DFA"/>
    <w:rsid w:val="006E4C8A"/>
    <w:rsid w:val="006E6C01"/>
    <w:rsid w:val="006E76F3"/>
    <w:rsid w:val="006F3273"/>
    <w:rsid w:val="006F48D1"/>
    <w:rsid w:val="006F5157"/>
    <w:rsid w:val="006F6558"/>
    <w:rsid w:val="006F7048"/>
    <w:rsid w:val="00704635"/>
    <w:rsid w:val="00704C9F"/>
    <w:rsid w:val="00704D08"/>
    <w:rsid w:val="007054E9"/>
    <w:rsid w:val="007059FD"/>
    <w:rsid w:val="00705BDE"/>
    <w:rsid w:val="007102A5"/>
    <w:rsid w:val="00710856"/>
    <w:rsid w:val="0071334A"/>
    <w:rsid w:val="007140B5"/>
    <w:rsid w:val="007168F2"/>
    <w:rsid w:val="007209CE"/>
    <w:rsid w:val="00721FDE"/>
    <w:rsid w:val="007220E8"/>
    <w:rsid w:val="007246F9"/>
    <w:rsid w:val="0072712E"/>
    <w:rsid w:val="00730CC0"/>
    <w:rsid w:val="00732C1A"/>
    <w:rsid w:val="007350F6"/>
    <w:rsid w:val="00735857"/>
    <w:rsid w:val="007408FC"/>
    <w:rsid w:val="00745361"/>
    <w:rsid w:val="00745C58"/>
    <w:rsid w:val="00746F78"/>
    <w:rsid w:val="00750898"/>
    <w:rsid w:val="00750FE4"/>
    <w:rsid w:val="00751143"/>
    <w:rsid w:val="00751EE7"/>
    <w:rsid w:val="007572BB"/>
    <w:rsid w:val="0075730C"/>
    <w:rsid w:val="00760AFB"/>
    <w:rsid w:val="00761ECD"/>
    <w:rsid w:val="0076259B"/>
    <w:rsid w:val="00762B99"/>
    <w:rsid w:val="007631F9"/>
    <w:rsid w:val="007641C2"/>
    <w:rsid w:val="007656DE"/>
    <w:rsid w:val="007671EB"/>
    <w:rsid w:val="00767547"/>
    <w:rsid w:val="00770786"/>
    <w:rsid w:val="007712D5"/>
    <w:rsid w:val="0077308F"/>
    <w:rsid w:val="00777C04"/>
    <w:rsid w:val="0078171C"/>
    <w:rsid w:val="00781D25"/>
    <w:rsid w:val="00781FF4"/>
    <w:rsid w:val="00782C2F"/>
    <w:rsid w:val="00786181"/>
    <w:rsid w:val="0079025D"/>
    <w:rsid w:val="007918E4"/>
    <w:rsid w:val="0079301A"/>
    <w:rsid w:val="00793371"/>
    <w:rsid w:val="007951BB"/>
    <w:rsid w:val="007A1327"/>
    <w:rsid w:val="007A1C46"/>
    <w:rsid w:val="007A1CD9"/>
    <w:rsid w:val="007A1FD9"/>
    <w:rsid w:val="007A2318"/>
    <w:rsid w:val="007A2BAB"/>
    <w:rsid w:val="007A401A"/>
    <w:rsid w:val="007A5854"/>
    <w:rsid w:val="007A5A7C"/>
    <w:rsid w:val="007A5EC4"/>
    <w:rsid w:val="007A68CC"/>
    <w:rsid w:val="007A6CD4"/>
    <w:rsid w:val="007B2CF6"/>
    <w:rsid w:val="007B346C"/>
    <w:rsid w:val="007B4EAC"/>
    <w:rsid w:val="007B5CB9"/>
    <w:rsid w:val="007B6A5F"/>
    <w:rsid w:val="007B7197"/>
    <w:rsid w:val="007B76B8"/>
    <w:rsid w:val="007C0D82"/>
    <w:rsid w:val="007C249A"/>
    <w:rsid w:val="007C3721"/>
    <w:rsid w:val="007D40B7"/>
    <w:rsid w:val="007D5511"/>
    <w:rsid w:val="007D57B6"/>
    <w:rsid w:val="007D6536"/>
    <w:rsid w:val="007D69BB"/>
    <w:rsid w:val="007D705F"/>
    <w:rsid w:val="007D7CD2"/>
    <w:rsid w:val="007E21C2"/>
    <w:rsid w:val="007E509F"/>
    <w:rsid w:val="007E5780"/>
    <w:rsid w:val="007E5F0D"/>
    <w:rsid w:val="007E7027"/>
    <w:rsid w:val="007F33F2"/>
    <w:rsid w:val="007F38C7"/>
    <w:rsid w:val="00800473"/>
    <w:rsid w:val="00800708"/>
    <w:rsid w:val="00803CBF"/>
    <w:rsid w:val="008045DC"/>
    <w:rsid w:val="0080462E"/>
    <w:rsid w:val="008049A7"/>
    <w:rsid w:val="00804A5E"/>
    <w:rsid w:val="008051BD"/>
    <w:rsid w:val="00805BCB"/>
    <w:rsid w:val="008061E5"/>
    <w:rsid w:val="0080703F"/>
    <w:rsid w:val="0080783C"/>
    <w:rsid w:val="008104DE"/>
    <w:rsid w:val="00812355"/>
    <w:rsid w:val="008128AC"/>
    <w:rsid w:val="0081616B"/>
    <w:rsid w:val="00820201"/>
    <w:rsid w:val="00820D28"/>
    <w:rsid w:val="00821930"/>
    <w:rsid w:val="00821BE5"/>
    <w:rsid w:val="00822DBA"/>
    <w:rsid w:val="00824623"/>
    <w:rsid w:val="00826BED"/>
    <w:rsid w:val="00827B91"/>
    <w:rsid w:val="00831657"/>
    <w:rsid w:val="00831B5B"/>
    <w:rsid w:val="008344A5"/>
    <w:rsid w:val="00835BF8"/>
    <w:rsid w:val="008366C2"/>
    <w:rsid w:val="008369C9"/>
    <w:rsid w:val="008465D0"/>
    <w:rsid w:val="0084798A"/>
    <w:rsid w:val="0085000D"/>
    <w:rsid w:val="008503B8"/>
    <w:rsid w:val="00851530"/>
    <w:rsid w:val="00851574"/>
    <w:rsid w:val="00851CE0"/>
    <w:rsid w:val="00851CF2"/>
    <w:rsid w:val="008535C1"/>
    <w:rsid w:val="00855082"/>
    <w:rsid w:val="008576CA"/>
    <w:rsid w:val="00857721"/>
    <w:rsid w:val="00860F8F"/>
    <w:rsid w:val="008619E9"/>
    <w:rsid w:val="00867AFE"/>
    <w:rsid w:val="00870D2A"/>
    <w:rsid w:val="00871849"/>
    <w:rsid w:val="00873D8B"/>
    <w:rsid w:val="00873E8C"/>
    <w:rsid w:val="00874195"/>
    <w:rsid w:val="00876A31"/>
    <w:rsid w:val="008776AD"/>
    <w:rsid w:val="0088071D"/>
    <w:rsid w:val="0088125D"/>
    <w:rsid w:val="0088628F"/>
    <w:rsid w:val="00886C57"/>
    <w:rsid w:val="008914E0"/>
    <w:rsid w:val="00893F1D"/>
    <w:rsid w:val="00894C0E"/>
    <w:rsid w:val="00897C46"/>
    <w:rsid w:val="008A132C"/>
    <w:rsid w:val="008A2455"/>
    <w:rsid w:val="008A2A45"/>
    <w:rsid w:val="008A3D27"/>
    <w:rsid w:val="008A5307"/>
    <w:rsid w:val="008B0252"/>
    <w:rsid w:val="008B089B"/>
    <w:rsid w:val="008B1D4A"/>
    <w:rsid w:val="008B291C"/>
    <w:rsid w:val="008B3F01"/>
    <w:rsid w:val="008B4862"/>
    <w:rsid w:val="008B73D4"/>
    <w:rsid w:val="008B7589"/>
    <w:rsid w:val="008B7A10"/>
    <w:rsid w:val="008B7C3C"/>
    <w:rsid w:val="008C0513"/>
    <w:rsid w:val="008C12E7"/>
    <w:rsid w:val="008C2376"/>
    <w:rsid w:val="008C4A52"/>
    <w:rsid w:val="008C66EB"/>
    <w:rsid w:val="008C6792"/>
    <w:rsid w:val="008C77BB"/>
    <w:rsid w:val="008D00EF"/>
    <w:rsid w:val="008D1B9E"/>
    <w:rsid w:val="008D27E2"/>
    <w:rsid w:val="008D296E"/>
    <w:rsid w:val="008D55DC"/>
    <w:rsid w:val="008D56CA"/>
    <w:rsid w:val="008D7364"/>
    <w:rsid w:val="008E0141"/>
    <w:rsid w:val="008E042A"/>
    <w:rsid w:val="008E1BAC"/>
    <w:rsid w:val="008E23A3"/>
    <w:rsid w:val="008E3279"/>
    <w:rsid w:val="008E3E70"/>
    <w:rsid w:val="008E57F0"/>
    <w:rsid w:val="008E58B4"/>
    <w:rsid w:val="008E5F46"/>
    <w:rsid w:val="008E7054"/>
    <w:rsid w:val="008F1EEA"/>
    <w:rsid w:val="008F2187"/>
    <w:rsid w:val="008F269D"/>
    <w:rsid w:val="008F4EC5"/>
    <w:rsid w:val="008F78F5"/>
    <w:rsid w:val="0090090F"/>
    <w:rsid w:val="00902A0A"/>
    <w:rsid w:val="00903CF7"/>
    <w:rsid w:val="00904C83"/>
    <w:rsid w:val="00904D45"/>
    <w:rsid w:val="00905FF2"/>
    <w:rsid w:val="00910481"/>
    <w:rsid w:val="00911DA5"/>
    <w:rsid w:val="0091294C"/>
    <w:rsid w:val="00913F81"/>
    <w:rsid w:val="00914595"/>
    <w:rsid w:val="009158DE"/>
    <w:rsid w:val="00915F6F"/>
    <w:rsid w:val="00922447"/>
    <w:rsid w:val="00923FA2"/>
    <w:rsid w:val="009264DE"/>
    <w:rsid w:val="0093041F"/>
    <w:rsid w:val="009310B3"/>
    <w:rsid w:val="00933CB5"/>
    <w:rsid w:val="00933E3C"/>
    <w:rsid w:val="00937576"/>
    <w:rsid w:val="00937D0B"/>
    <w:rsid w:val="00940C41"/>
    <w:rsid w:val="00940EA9"/>
    <w:rsid w:val="009422FA"/>
    <w:rsid w:val="00943F91"/>
    <w:rsid w:val="00945663"/>
    <w:rsid w:val="009479BC"/>
    <w:rsid w:val="009501EA"/>
    <w:rsid w:val="0095122C"/>
    <w:rsid w:val="00952DE7"/>
    <w:rsid w:val="00952E05"/>
    <w:rsid w:val="0095315E"/>
    <w:rsid w:val="009532BC"/>
    <w:rsid w:val="00953B43"/>
    <w:rsid w:val="00953F93"/>
    <w:rsid w:val="00954A5F"/>
    <w:rsid w:val="00955907"/>
    <w:rsid w:val="00957C11"/>
    <w:rsid w:val="00957FEA"/>
    <w:rsid w:val="00962FF0"/>
    <w:rsid w:val="00965721"/>
    <w:rsid w:val="00965B9A"/>
    <w:rsid w:val="009661E6"/>
    <w:rsid w:val="0097028C"/>
    <w:rsid w:val="0097096E"/>
    <w:rsid w:val="009726C3"/>
    <w:rsid w:val="009731FB"/>
    <w:rsid w:val="00974D7B"/>
    <w:rsid w:val="009773F1"/>
    <w:rsid w:val="00982062"/>
    <w:rsid w:val="00982610"/>
    <w:rsid w:val="00984814"/>
    <w:rsid w:val="009854AA"/>
    <w:rsid w:val="0098678C"/>
    <w:rsid w:val="00995426"/>
    <w:rsid w:val="00995B95"/>
    <w:rsid w:val="00995D5A"/>
    <w:rsid w:val="00996FCD"/>
    <w:rsid w:val="009A0C48"/>
    <w:rsid w:val="009A2FB3"/>
    <w:rsid w:val="009A4367"/>
    <w:rsid w:val="009A4682"/>
    <w:rsid w:val="009A4819"/>
    <w:rsid w:val="009A4FC5"/>
    <w:rsid w:val="009A5E6D"/>
    <w:rsid w:val="009A6249"/>
    <w:rsid w:val="009B00E7"/>
    <w:rsid w:val="009B0D6A"/>
    <w:rsid w:val="009B1755"/>
    <w:rsid w:val="009B22D0"/>
    <w:rsid w:val="009B335C"/>
    <w:rsid w:val="009C25E6"/>
    <w:rsid w:val="009C295E"/>
    <w:rsid w:val="009C3B55"/>
    <w:rsid w:val="009C3D4C"/>
    <w:rsid w:val="009C3F57"/>
    <w:rsid w:val="009D0599"/>
    <w:rsid w:val="009D1E78"/>
    <w:rsid w:val="009D3BF0"/>
    <w:rsid w:val="009D45C1"/>
    <w:rsid w:val="009E01BD"/>
    <w:rsid w:val="009E046F"/>
    <w:rsid w:val="009E11F2"/>
    <w:rsid w:val="009E26B3"/>
    <w:rsid w:val="009E3762"/>
    <w:rsid w:val="009E40FA"/>
    <w:rsid w:val="009E4C04"/>
    <w:rsid w:val="009E50D2"/>
    <w:rsid w:val="009E581D"/>
    <w:rsid w:val="009E6E4A"/>
    <w:rsid w:val="009E6E82"/>
    <w:rsid w:val="009F1584"/>
    <w:rsid w:val="009F2D03"/>
    <w:rsid w:val="009F345E"/>
    <w:rsid w:val="009F3756"/>
    <w:rsid w:val="009F46A8"/>
    <w:rsid w:val="009F6054"/>
    <w:rsid w:val="009F6435"/>
    <w:rsid w:val="009F65DF"/>
    <w:rsid w:val="009F67C5"/>
    <w:rsid w:val="009F7462"/>
    <w:rsid w:val="00A006B8"/>
    <w:rsid w:val="00A01221"/>
    <w:rsid w:val="00A01E4F"/>
    <w:rsid w:val="00A02300"/>
    <w:rsid w:val="00A10027"/>
    <w:rsid w:val="00A11A1B"/>
    <w:rsid w:val="00A12369"/>
    <w:rsid w:val="00A12F11"/>
    <w:rsid w:val="00A132AB"/>
    <w:rsid w:val="00A132AD"/>
    <w:rsid w:val="00A13613"/>
    <w:rsid w:val="00A21CC5"/>
    <w:rsid w:val="00A21CD8"/>
    <w:rsid w:val="00A22DDC"/>
    <w:rsid w:val="00A23033"/>
    <w:rsid w:val="00A2470D"/>
    <w:rsid w:val="00A3059B"/>
    <w:rsid w:val="00A32C94"/>
    <w:rsid w:val="00A33052"/>
    <w:rsid w:val="00A3452B"/>
    <w:rsid w:val="00A348F6"/>
    <w:rsid w:val="00A36066"/>
    <w:rsid w:val="00A36235"/>
    <w:rsid w:val="00A36979"/>
    <w:rsid w:val="00A369D3"/>
    <w:rsid w:val="00A37FC9"/>
    <w:rsid w:val="00A40318"/>
    <w:rsid w:val="00A41963"/>
    <w:rsid w:val="00A42F57"/>
    <w:rsid w:val="00A450CB"/>
    <w:rsid w:val="00A52028"/>
    <w:rsid w:val="00A52CD0"/>
    <w:rsid w:val="00A53E8F"/>
    <w:rsid w:val="00A54E1A"/>
    <w:rsid w:val="00A5636D"/>
    <w:rsid w:val="00A571E0"/>
    <w:rsid w:val="00A61400"/>
    <w:rsid w:val="00A624E2"/>
    <w:rsid w:val="00A6411C"/>
    <w:rsid w:val="00A6660E"/>
    <w:rsid w:val="00A667D3"/>
    <w:rsid w:val="00A66D47"/>
    <w:rsid w:val="00A674B1"/>
    <w:rsid w:val="00A74A74"/>
    <w:rsid w:val="00A760E7"/>
    <w:rsid w:val="00A76D00"/>
    <w:rsid w:val="00A76DD2"/>
    <w:rsid w:val="00A7707E"/>
    <w:rsid w:val="00A8239E"/>
    <w:rsid w:val="00A83563"/>
    <w:rsid w:val="00A83702"/>
    <w:rsid w:val="00A8380A"/>
    <w:rsid w:val="00A84248"/>
    <w:rsid w:val="00A85D90"/>
    <w:rsid w:val="00A87109"/>
    <w:rsid w:val="00A914B5"/>
    <w:rsid w:val="00A92DCD"/>
    <w:rsid w:val="00A955DC"/>
    <w:rsid w:val="00AA0847"/>
    <w:rsid w:val="00AA1572"/>
    <w:rsid w:val="00AA3734"/>
    <w:rsid w:val="00AA3BEA"/>
    <w:rsid w:val="00AA5F43"/>
    <w:rsid w:val="00AB0AC8"/>
    <w:rsid w:val="00AB356F"/>
    <w:rsid w:val="00AB3913"/>
    <w:rsid w:val="00AB445F"/>
    <w:rsid w:val="00AB679B"/>
    <w:rsid w:val="00AB6A77"/>
    <w:rsid w:val="00AB728F"/>
    <w:rsid w:val="00AC02A8"/>
    <w:rsid w:val="00AC10FB"/>
    <w:rsid w:val="00AC3A52"/>
    <w:rsid w:val="00AC4A17"/>
    <w:rsid w:val="00AC4F59"/>
    <w:rsid w:val="00AC5BCE"/>
    <w:rsid w:val="00AC7F7E"/>
    <w:rsid w:val="00AD0AB1"/>
    <w:rsid w:val="00AD1C48"/>
    <w:rsid w:val="00AD1E97"/>
    <w:rsid w:val="00AD2B0E"/>
    <w:rsid w:val="00AD3B23"/>
    <w:rsid w:val="00AD3C33"/>
    <w:rsid w:val="00AD4267"/>
    <w:rsid w:val="00AD48F9"/>
    <w:rsid w:val="00AD74AF"/>
    <w:rsid w:val="00AD7CA4"/>
    <w:rsid w:val="00AD7E63"/>
    <w:rsid w:val="00AE03FD"/>
    <w:rsid w:val="00AE15AD"/>
    <w:rsid w:val="00AE20FF"/>
    <w:rsid w:val="00AE2625"/>
    <w:rsid w:val="00AE35EF"/>
    <w:rsid w:val="00AE366A"/>
    <w:rsid w:val="00AE3E8C"/>
    <w:rsid w:val="00AE5626"/>
    <w:rsid w:val="00AE6981"/>
    <w:rsid w:val="00B002F6"/>
    <w:rsid w:val="00B03872"/>
    <w:rsid w:val="00B0550A"/>
    <w:rsid w:val="00B06233"/>
    <w:rsid w:val="00B06EB3"/>
    <w:rsid w:val="00B07383"/>
    <w:rsid w:val="00B10C57"/>
    <w:rsid w:val="00B10F42"/>
    <w:rsid w:val="00B12393"/>
    <w:rsid w:val="00B12913"/>
    <w:rsid w:val="00B13F82"/>
    <w:rsid w:val="00B14992"/>
    <w:rsid w:val="00B155C1"/>
    <w:rsid w:val="00B21144"/>
    <w:rsid w:val="00B21581"/>
    <w:rsid w:val="00B24120"/>
    <w:rsid w:val="00B246E7"/>
    <w:rsid w:val="00B25027"/>
    <w:rsid w:val="00B2570C"/>
    <w:rsid w:val="00B2614D"/>
    <w:rsid w:val="00B265C0"/>
    <w:rsid w:val="00B309B8"/>
    <w:rsid w:val="00B30B10"/>
    <w:rsid w:val="00B31154"/>
    <w:rsid w:val="00B3173E"/>
    <w:rsid w:val="00B32337"/>
    <w:rsid w:val="00B32395"/>
    <w:rsid w:val="00B33D73"/>
    <w:rsid w:val="00B34F05"/>
    <w:rsid w:val="00B34F82"/>
    <w:rsid w:val="00B35AD1"/>
    <w:rsid w:val="00B369B5"/>
    <w:rsid w:val="00B37A15"/>
    <w:rsid w:val="00B40FA8"/>
    <w:rsid w:val="00B4126C"/>
    <w:rsid w:val="00B41F93"/>
    <w:rsid w:val="00B44704"/>
    <w:rsid w:val="00B45717"/>
    <w:rsid w:val="00B45B8A"/>
    <w:rsid w:val="00B4713B"/>
    <w:rsid w:val="00B50580"/>
    <w:rsid w:val="00B525C0"/>
    <w:rsid w:val="00B56FDA"/>
    <w:rsid w:val="00B57C16"/>
    <w:rsid w:val="00B57F83"/>
    <w:rsid w:val="00B618DA"/>
    <w:rsid w:val="00B64D6A"/>
    <w:rsid w:val="00B64F1D"/>
    <w:rsid w:val="00B65466"/>
    <w:rsid w:val="00B674A5"/>
    <w:rsid w:val="00B7293E"/>
    <w:rsid w:val="00B7517B"/>
    <w:rsid w:val="00B7577A"/>
    <w:rsid w:val="00B75D82"/>
    <w:rsid w:val="00B77C19"/>
    <w:rsid w:val="00B8043B"/>
    <w:rsid w:val="00B83B3A"/>
    <w:rsid w:val="00B9107D"/>
    <w:rsid w:val="00B9211E"/>
    <w:rsid w:val="00B95AFA"/>
    <w:rsid w:val="00B96CCB"/>
    <w:rsid w:val="00BA10B9"/>
    <w:rsid w:val="00BA3841"/>
    <w:rsid w:val="00BA438F"/>
    <w:rsid w:val="00BA4F50"/>
    <w:rsid w:val="00BA5BED"/>
    <w:rsid w:val="00BB0DB1"/>
    <w:rsid w:val="00BB18DD"/>
    <w:rsid w:val="00BB552F"/>
    <w:rsid w:val="00BB61D3"/>
    <w:rsid w:val="00BB620B"/>
    <w:rsid w:val="00BB7F4B"/>
    <w:rsid w:val="00BC0820"/>
    <w:rsid w:val="00BC089B"/>
    <w:rsid w:val="00BC154E"/>
    <w:rsid w:val="00BC185A"/>
    <w:rsid w:val="00BC216F"/>
    <w:rsid w:val="00BC229F"/>
    <w:rsid w:val="00BC2C4D"/>
    <w:rsid w:val="00BC36BE"/>
    <w:rsid w:val="00BC5AE3"/>
    <w:rsid w:val="00BC7110"/>
    <w:rsid w:val="00BD0F05"/>
    <w:rsid w:val="00BD1681"/>
    <w:rsid w:val="00BD1B3B"/>
    <w:rsid w:val="00BD7CDB"/>
    <w:rsid w:val="00BD7E8A"/>
    <w:rsid w:val="00BE18E4"/>
    <w:rsid w:val="00BE4C96"/>
    <w:rsid w:val="00BE5D0F"/>
    <w:rsid w:val="00BE6BEB"/>
    <w:rsid w:val="00BE6D81"/>
    <w:rsid w:val="00BF09D4"/>
    <w:rsid w:val="00BF1718"/>
    <w:rsid w:val="00BF1959"/>
    <w:rsid w:val="00BF23EB"/>
    <w:rsid w:val="00BF40D5"/>
    <w:rsid w:val="00BF5F13"/>
    <w:rsid w:val="00BF6893"/>
    <w:rsid w:val="00BF7EF1"/>
    <w:rsid w:val="00C01B45"/>
    <w:rsid w:val="00C01BE5"/>
    <w:rsid w:val="00C04EB7"/>
    <w:rsid w:val="00C11039"/>
    <w:rsid w:val="00C12488"/>
    <w:rsid w:val="00C132C4"/>
    <w:rsid w:val="00C137E9"/>
    <w:rsid w:val="00C1525E"/>
    <w:rsid w:val="00C2062D"/>
    <w:rsid w:val="00C20D6F"/>
    <w:rsid w:val="00C248F4"/>
    <w:rsid w:val="00C26139"/>
    <w:rsid w:val="00C26531"/>
    <w:rsid w:val="00C30F77"/>
    <w:rsid w:val="00C31473"/>
    <w:rsid w:val="00C31DEE"/>
    <w:rsid w:val="00C31FCC"/>
    <w:rsid w:val="00C3425C"/>
    <w:rsid w:val="00C345E3"/>
    <w:rsid w:val="00C34711"/>
    <w:rsid w:val="00C3561C"/>
    <w:rsid w:val="00C358A9"/>
    <w:rsid w:val="00C37D81"/>
    <w:rsid w:val="00C4041E"/>
    <w:rsid w:val="00C406D4"/>
    <w:rsid w:val="00C44CA8"/>
    <w:rsid w:val="00C453A3"/>
    <w:rsid w:val="00C472FB"/>
    <w:rsid w:val="00C47A9A"/>
    <w:rsid w:val="00C50486"/>
    <w:rsid w:val="00C51321"/>
    <w:rsid w:val="00C52D3A"/>
    <w:rsid w:val="00C60022"/>
    <w:rsid w:val="00C63A9B"/>
    <w:rsid w:val="00C63EFF"/>
    <w:rsid w:val="00C63F9E"/>
    <w:rsid w:val="00C65424"/>
    <w:rsid w:val="00C654F4"/>
    <w:rsid w:val="00C65973"/>
    <w:rsid w:val="00C67847"/>
    <w:rsid w:val="00C705B7"/>
    <w:rsid w:val="00C71623"/>
    <w:rsid w:val="00C71B92"/>
    <w:rsid w:val="00C71FC1"/>
    <w:rsid w:val="00C727F1"/>
    <w:rsid w:val="00C72913"/>
    <w:rsid w:val="00C737D0"/>
    <w:rsid w:val="00C7614D"/>
    <w:rsid w:val="00C76EEB"/>
    <w:rsid w:val="00C77C50"/>
    <w:rsid w:val="00C77D57"/>
    <w:rsid w:val="00C805A1"/>
    <w:rsid w:val="00C81CC5"/>
    <w:rsid w:val="00C82143"/>
    <w:rsid w:val="00C849E7"/>
    <w:rsid w:val="00C84F3E"/>
    <w:rsid w:val="00C873C8"/>
    <w:rsid w:val="00C91CA9"/>
    <w:rsid w:val="00C935A6"/>
    <w:rsid w:val="00C94D09"/>
    <w:rsid w:val="00C9704F"/>
    <w:rsid w:val="00CA1834"/>
    <w:rsid w:val="00CA647A"/>
    <w:rsid w:val="00CA71F5"/>
    <w:rsid w:val="00CA7592"/>
    <w:rsid w:val="00CA7AC2"/>
    <w:rsid w:val="00CB0450"/>
    <w:rsid w:val="00CB08EA"/>
    <w:rsid w:val="00CB4431"/>
    <w:rsid w:val="00CB5D62"/>
    <w:rsid w:val="00CB699A"/>
    <w:rsid w:val="00CC05EE"/>
    <w:rsid w:val="00CC0C3A"/>
    <w:rsid w:val="00CC1482"/>
    <w:rsid w:val="00CC5216"/>
    <w:rsid w:val="00CC52C1"/>
    <w:rsid w:val="00CC61D6"/>
    <w:rsid w:val="00CC76EE"/>
    <w:rsid w:val="00CD0ED3"/>
    <w:rsid w:val="00CD1502"/>
    <w:rsid w:val="00CD2850"/>
    <w:rsid w:val="00CD4ED5"/>
    <w:rsid w:val="00CD767B"/>
    <w:rsid w:val="00CE2664"/>
    <w:rsid w:val="00CE4BC5"/>
    <w:rsid w:val="00CE6E19"/>
    <w:rsid w:val="00CF0C18"/>
    <w:rsid w:val="00CF4D7E"/>
    <w:rsid w:val="00CF5F8D"/>
    <w:rsid w:val="00CF74DF"/>
    <w:rsid w:val="00CF7F29"/>
    <w:rsid w:val="00D00E06"/>
    <w:rsid w:val="00D01C10"/>
    <w:rsid w:val="00D026BB"/>
    <w:rsid w:val="00D04902"/>
    <w:rsid w:val="00D0506C"/>
    <w:rsid w:val="00D05392"/>
    <w:rsid w:val="00D067D8"/>
    <w:rsid w:val="00D0789F"/>
    <w:rsid w:val="00D102FD"/>
    <w:rsid w:val="00D13C44"/>
    <w:rsid w:val="00D13CD2"/>
    <w:rsid w:val="00D14904"/>
    <w:rsid w:val="00D1581C"/>
    <w:rsid w:val="00D17B87"/>
    <w:rsid w:val="00D20A6E"/>
    <w:rsid w:val="00D22A57"/>
    <w:rsid w:val="00D2379B"/>
    <w:rsid w:val="00D24207"/>
    <w:rsid w:val="00D248B9"/>
    <w:rsid w:val="00D33BE3"/>
    <w:rsid w:val="00D342D0"/>
    <w:rsid w:val="00D34E70"/>
    <w:rsid w:val="00D35903"/>
    <w:rsid w:val="00D367B1"/>
    <w:rsid w:val="00D41154"/>
    <w:rsid w:val="00D430D2"/>
    <w:rsid w:val="00D43595"/>
    <w:rsid w:val="00D45EB8"/>
    <w:rsid w:val="00D45FF6"/>
    <w:rsid w:val="00D46B1D"/>
    <w:rsid w:val="00D47015"/>
    <w:rsid w:val="00D47751"/>
    <w:rsid w:val="00D47D6A"/>
    <w:rsid w:val="00D51D09"/>
    <w:rsid w:val="00D52B7A"/>
    <w:rsid w:val="00D54562"/>
    <w:rsid w:val="00D5486F"/>
    <w:rsid w:val="00D5487D"/>
    <w:rsid w:val="00D55A53"/>
    <w:rsid w:val="00D56C3D"/>
    <w:rsid w:val="00D60B26"/>
    <w:rsid w:val="00D61412"/>
    <w:rsid w:val="00D639EA"/>
    <w:rsid w:val="00D63DBF"/>
    <w:rsid w:val="00D6550E"/>
    <w:rsid w:val="00D65605"/>
    <w:rsid w:val="00D66CB3"/>
    <w:rsid w:val="00D66FD4"/>
    <w:rsid w:val="00D67146"/>
    <w:rsid w:val="00D67AAA"/>
    <w:rsid w:val="00D712B2"/>
    <w:rsid w:val="00D71416"/>
    <w:rsid w:val="00D719F9"/>
    <w:rsid w:val="00D72734"/>
    <w:rsid w:val="00D72FCE"/>
    <w:rsid w:val="00D763C1"/>
    <w:rsid w:val="00D806CF"/>
    <w:rsid w:val="00D808F4"/>
    <w:rsid w:val="00D80C4C"/>
    <w:rsid w:val="00D8293A"/>
    <w:rsid w:val="00D83E45"/>
    <w:rsid w:val="00D8431A"/>
    <w:rsid w:val="00D90C9F"/>
    <w:rsid w:val="00D91E3D"/>
    <w:rsid w:val="00D923D4"/>
    <w:rsid w:val="00D9330C"/>
    <w:rsid w:val="00D94FA1"/>
    <w:rsid w:val="00D957FE"/>
    <w:rsid w:val="00D96233"/>
    <w:rsid w:val="00DA061D"/>
    <w:rsid w:val="00DA13F4"/>
    <w:rsid w:val="00DA21EB"/>
    <w:rsid w:val="00DA2FC2"/>
    <w:rsid w:val="00DA324C"/>
    <w:rsid w:val="00DA4142"/>
    <w:rsid w:val="00DA54DC"/>
    <w:rsid w:val="00DA7E2A"/>
    <w:rsid w:val="00DB2AC8"/>
    <w:rsid w:val="00DB2B2F"/>
    <w:rsid w:val="00DB3B83"/>
    <w:rsid w:val="00DB54BC"/>
    <w:rsid w:val="00DB5E7F"/>
    <w:rsid w:val="00DB66CD"/>
    <w:rsid w:val="00DB6934"/>
    <w:rsid w:val="00DB6EF5"/>
    <w:rsid w:val="00DC0803"/>
    <w:rsid w:val="00DC1382"/>
    <w:rsid w:val="00DC1C8E"/>
    <w:rsid w:val="00DC75AF"/>
    <w:rsid w:val="00DD0157"/>
    <w:rsid w:val="00DD0236"/>
    <w:rsid w:val="00DD045B"/>
    <w:rsid w:val="00DD4289"/>
    <w:rsid w:val="00DD479C"/>
    <w:rsid w:val="00DD4BDF"/>
    <w:rsid w:val="00DD57EF"/>
    <w:rsid w:val="00DE1009"/>
    <w:rsid w:val="00DE18A0"/>
    <w:rsid w:val="00DE23F6"/>
    <w:rsid w:val="00DE68EC"/>
    <w:rsid w:val="00DE7B21"/>
    <w:rsid w:val="00DF04C1"/>
    <w:rsid w:val="00DF0A04"/>
    <w:rsid w:val="00DF1475"/>
    <w:rsid w:val="00DF2E67"/>
    <w:rsid w:val="00DF2EF0"/>
    <w:rsid w:val="00DF42B9"/>
    <w:rsid w:val="00DF4B46"/>
    <w:rsid w:val="00DF6729"/>
    <w:rsid w:val="00DF6862"/>
    <w:rsid w:val="00E01F8A"/>
    <w:rsid w:val="00E03BAA"/>
    <w:rsid w:val="00E04288"/>
    <w:rsid w:val="00E0474C"/>
    <w:rsid w:val="00E04B51"/>
    <w:rsid w:val="00E05B67"/>
    <w:rsid w:val="00E06AAE"/>
    <w:rsid w:val="00E126D2"/>
    <w:rsid w:val="00E136FE"/>
    <w:rsid w:val="00E13CE0"/>
    <w:rsid w:val="00E14CF1"/>
    <w:rsid w:val="00E150CB"/>
    <w:rsid w:val="00E20A68"/>
    <w:rsid w:val="00E21C5D"/>
    <w:rsid w:val="00E2367C"/>
    <w:rsid w:val="00E24F42"/>
    <w:rsid w:val="00E25683"/>
    <w:rsid w:val="00E269B8"/>
    <w:rsid w:val="00E305DE"/>
    <w:rsid w:val="00E3176D"/>
    <w:rsid w:val="00E31F1E"/>
    <w:rsid w:val="00E333A0"/>
    <w:rsid w:val="00E33496"/>
    <w:rsid w:val="00E36428"/>
    <w:rsid w:val="00E36A53"/>
    <w:rsid w:val="00E36DB8"/>
    <w:rsid w:val="00E37543"/>
    <w:rsid w:val="00E37ED4"/>
    <w:rsid w:val="00E37F3E"/>
    <w:rsid w:val="00E40BEA"/>
    <w:rsid w:val="00E40F94"/>
    <w:rsid w:val="00E44148"/>
    <w:rsid w:val="00E44E94"/>
    <w:rsid w:val="00E458C7"/>
    <w:rsid w:val="00E50986"/>
    <w:rsid w:val="00E5127A"/>
    <w:rsid w:val="00E523DB"/>
    <w:rsid w:val="00E57CDF"/>
    <w:rsid w:val="00E60844"/>
    <w:rsid w:val="00E61AC7"/>
    <w:rsid w:val="00E621CA"/>
    <w:rsid w:val="00E64CE3"/>
    <w:rsid w:val="00E67447"/>
    <w:rsid w:val="00E71419"/>
    <w:rsid w:val="00E71515"/>
    <w:rsid w:val="00E71656"/>
    <w:rsid w:val="00E7185F"/>
    <w:rsid w:val="00E718E5"/>
    <w:rsid w:val="00E738DB"/>
    <w:rsid w:val="00E73C67"/>
    <w:rsid w:val="00E73E2A"/>
    <w:rsid w:val="00E75889"/>
    <w:rsid w:val="00E82713"/>
    <w:rsid w:val="00E82FA8"/>
    <w:rsid w:val="00E845E2"/>
    <w:rsid w:val="00E85127"/>
    <w:rsid w:val="00E85ADB"/>
    <w:rsid w:val="00E87901"/>
    <w:rsid w:val="00E92FBC"/>
    <w:rsid w:val="00E9458F"/>
    <w:rsid w:val="00E96E82"/>
    <w:rsid w:val="00E97F16"/>
    <w:rsid w:val="00EA072E"/>
    <w:rsid w:val="00EA1CBE"/>
    <w:rsid w:val="00EA70A7"/>
    <w:rsid w:val="00EB01F4"/>
    <w:rsid w:val="00EB0881"/>
    <w:rsid w:val="00EB2357"/>
    <w:rsid w:val="00EB42DF"/>
    <w:rsid w:val="00EB6E13"/>
    <w:rsid w:val="00EC01CD"/>
    <w:rsid w:val="00EC07BC"/>
    <w:rsid w:val="00EC0A95"/>
    <w:rsid w:val="00EC1439"/>
    <w:rsid w:val="00EC1BE0"/>
    <w:rsid w:val="00EC1BE6"/>
    <w:rsid w:val="00EC1CEB"/>
    <w:rsid w:val="00EC6574"/>
    <w:rsid w:val="00EC70BB"/>
    <w:rsid w:val="00EC7B05"/>
    <w:rsid w:val="00ED1358"/>
    <w:rsid w:val="00ED156E"/>
    <w:rsid w:val="00ED24C7"/>
    <w:rsid w:val="00ED3E39"/>
    <w:rsid w:val="00ED455D"/>
    <w:rsid w:val="00ED46DD"/>
    <w:rsid w:val="00ED73CB"/>
    <w:rsid w:val="00EE14DE"/>
    <w:rsid w:val="00EE1663"/>
    <w:rsid w:val="00EE185A"/>
    <w:rsid w:val="00EE35B2"/>
    <w:rsid w:val="00EE3B7D"/>
    <w:rsid w:val="00EE53CE"/>
    <w:rsid w:val="00EE5C93"/>
    <w:rsid w:val="00EE6700"/>
    <w:rsid w:val="00EE6D91"/>
    <w:rsid w:val="00EE7407"/>
    <w:rsid w:val="00EF0CE2"/>
    <w:rsid w:val="00EF14EB"/>
    <w:rsid w:val="00EF15A3"/>
    <w:rsid w:val="00EF1B53"/>
    <w:rsid w:val="00EF36E9"/>
    <w:rsid w:val="00EF460A"/>
    <w:rsid w:val="00EF4E4D"/>
    <w:rsid w:val="00EF536F"/>
    <w:rsid w:val="00EF6C68"/>
    <w:rsid w:val="00EF78F6"/>
    <w:rsid w:val="00EF7F7A"/>
    <w:rsid w:val="00F00408"/>
    <w:rsid w:val="00F007A7"/>
    <w:rsid w:val="00F015DD"/>
    <w:rsid w:val="00F0214A"/>
    <w:rsid w:val="00F026B4"/>
    <w:rsid w:val="00F0287E"/>
    <w:rsid w:val="00F03CF0"/>
    <w:rsid w:val="00F0438B"/>
    <w:rsid w:val="00F14669"/>
    <w:rsid w:val="00F15A6F"/>
    <w:rsid w:val="00F1618B"/>
    <w:rsid w:val="00F16A12"/>
    <w:rsid w:val="00F209EE"/>
    <w:rsid w:val="00F22773"/>
    <w:rsid w:val="00F23C6F"/>
    <w:rsid w:val="00F2450C"/>
    <w:rsid w:val="00F24630"/>
    <w:rsid w:val="00F2587B"/>
    <w:rsid w:val="00F25C7F"/>
    <w:rsid w:val="00F27734"/>
    <w:rsid w:val="00F311F5"/>
    <w:rsid w:val="00F31707"/>
    <w:rsid w:val="00F32D2F"/>
    <w:rsid w:val="00F32FA9"/>
    <w:rsid w:val="00F33E75"/>
    <w:rsid w:val="00F34906"/>
    <w:rsid w:val="00F4012A"/>
    <w:rsid w:val="00F4034D"/>
    <w:rsid w:val="00F4035C"/>
    <w:rsid w:val="00F41CA6"/>
    <w:rsid w:val="00F4445E"/>
    <w:rsid w:val="00F459D3"/>
    <w:rsid w:val="00F45A27"/>
    <w:rsid w:val="00F45CE7"/>
    <w:rsid w:val="00F51F5C"/>
    <w:rsid w:val="00F532D0"/>
    <w:rsid w:val="00F54EAB"/>
    <w:rsid w:val="00F57A33"/>
    <w:rsid w:val="00F60310"/>
    <w:rsid w:val="00F6125C"/>
    <w:rsid w:val="00F62B96"/>
    <w:rsid w:val="00F62BCB"/>
    <w:rsid w:val="00F63405"/>
    <w:rsid w:val="00F64373"/>
    <w:rsid w:val="00F669B7"/>
    <w:rsid w:val="00F71C77"/>
    <w:rsid w:val="00F75753"/>
    <w:rsid w:val="00F80B24"/>
    <w:rsid w:val="00F84346"/>
    <w:rsid w:val="00F84DD9"/>
    <w:rsid w:val="00F878C3"/>
    <w:rsid w:val="00F916E1"/>
    <w:rsid w:val="00F93B97"/>
    <w:rsid w:val="00F95F73"/>
    <w:rsid w:val="00FA0850"/>
    <w:rsid w:val="00FA0A6C"/>
    <w:rsid w:val="00FA12A5"/>
    <w:rsid w:val="00FA1FA0"/>
    <w:rsid w:val="00FA2EC4"/>
    <w:rsid w:val="00FA71E3"/>
    <w:rsid w:val="00FB0B81"/>
    <w:rsid w:val="00FB1878"/>
    <w:rsid w:val="00FB1AD2"/>
    <w:rsid w:val="00FB3D70"/>
    <w:rsid w:val="00FB4D2E"/>
    <w:rsid w:val="00FC2851"/>
    <w:rsid w:val="00FC3098"/>
    <w:rsid w:val="00FC514C"/>
    <w:rsid w:val="00FC563B"/>
    <w:rsid w:val="00FC5A9F"/>
    <w:rsid w:val="00FC61D4"/>
    <w:rsid w:val="00FD0134"/>
    <w:rsid w:val="00FD1988"/>
    <w:rsid w:val="00FD1D6A"/>
    <w:rsid w:val="00FD26EE"/>
    <w:rsid w:val="00FD30BF"/>
    <w:rsid w:val="00FD4A0C"/>
    <w:rsid w:val="00FD5487"/>
    <w:rsid w:val="00FD66A1"/>
    <w:rsid w:val="00FD712E"/>
    <w:rsid w:val="00FE191B"/>
    <w:rsid w:val="00FE2707"/>
    <w:rsid w:val="00FE5DE9"/>
    <w:rsid w:val="00FE659E"/>
    <w:rsid w:val="00FE6842"/>
    <w:rsid w:val="00FE6DAC"/>
    <w:rsid w:val="00FE712C"/>
    <w:rsid w:val="00FF0B7A"/>
    <w:rsid w:val="00FF0C67"/>
    <w:rsid w:val="00FF2C1D"/>
    <w:rsid w:val="00FF3D7E"/>
    <w:rsid w:val="00FF622B"/>
    <w:rsid w:val="00FF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A2"/>
    <w:rPr>
      <w:rFonts w:eastAsiaTheme="minorEastAsia"/>
    </w:rPr>
  </w:style>
  <w:style w:type="paragraph" w:styleId="Heading1">
    <w:name w:val="heading 1"/>
    <w:basedOn w:val="Normal"/>
    <w:link w:val="Heading1Char"/>
    <w:uiPriority w:val="9"/>
    <w:qFormat/>
    <w:rsid w:val="00D83E4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2">
    <w:name w:val="heading 2"/>
    <w:basedOn w:val="Normal"/>
    <w:next w:val="Normal"/>
    <w:link w:val="Heading2Char"/>
    <w:uiPriority w:val="9"/>
    <w:unhideWhenUsed/>
    <w:qFormat/>
    <w:rsid w:val="00F62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2C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A1AF2"/>
    <w:rPr>
      <w:vertAlign w:val="superscript"/>
    </w:rPr>
  </w:style>
  <w:style w:type="character" w:customStyle="1" w:styleId="rynqvb">
    <w:name w:val="rynqvb"/>
    <w:basedOn w:val="DefaultParagraphFont"/>
    <w:rsid w:val="00AD3B23"/>
  </w:style>
  <w:style w:type="paragraph" w:styleId="FootnoteText">
    <w:name w:val="footnote text"/>
    <w:basedOn w:val="Normal"/>
    <w:link w:val="FootnoteTextChar"/>
    <w:uiPriority w:val="99"/>
    <w:unhideWhenUsed/>
    <w:rsid w:val="00AD3B23"/>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AD3B23"/>
    <w:rPr>
      <w:sz w:val="20"/>
      <w:szCs w:val="20"/>
    </w:rPr>
  </w:style>
  <w:style w:type="character" w:customStyle="1" w:styleId="Heading1Char">
    <w:name w:val="Heading 1 Char"/>
    <w:basedOn w:val="DefaultParagraphFont"/>
    <w:link w:val="Heading1"/>
    <w:uiPriority w:val="9"/>
    <w:rsid w:val="00D83E45"/>
    <w:rPr>
      <w:rFonts w:ascii="Times New Roman" w:eastAsia="Times New Roman" w:hAnsi="Times New Roman" w:cs="Times New Roman"/>
      <w:b/>
      <w:bCs/>
      <w:kern w:val="36"/>
      <w:sz w:val="48"/>
      <w:szCs w:val="48"/>
      <w:lang w:val="x-none" w:eastAsia="x-none"/>
    </w:rPr>
  </w:style>
  <w:style w:type="character" w:customStyle="1" w:styleId="hwtze">
    <w:name w:val="hwtze"/>
    <w:basedOn w:val="DefaultParagraphFont"/>
    <w:rsid w:val="006B5FBA"/>
  </w:style>
  <w:style w:type="paragraph" w:styleId="NormalWeb">
    <w:name w:val="Normal (Web)"/>
    <w:aliases w:val="Char,Char1 Char,Char1"/>
    <w:basedOn w:val="Normal"/>
    <w:uiPriority w:val="99"/>
    <w:unhideWhenUsed/>
    <w:qFormat/>
    <w:rsid w:val="00886C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D5C"/>
    <w:rPr>
      <w:rFonts w:eastAsiaTheme="minorEastAsia"/>
    </w:rPr>
  </w:style>
  <w:style w:type="paragraph" w:styleId="Footer">
    <w:name w:val="footer"/>
    <w:basedOn w:val="Normal"/>
    <w:link w:val="FooterChar"/>
    <w:uiPriority w:val="99"/>
    <w:unhideWhenUsed/>
    <w:rsid w:val="001B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D5C"/>
    <w:rPr>
      <w:rFonts w:eastAsiaTheme="minorEastAsia"/>
    </w:rPr>
  </w:style>
  <w:style w:type="paragraph" w:styleId="ListParagraph">
    <w:name w:val="List Paragraph"/>
    <w:basedOn w:val="Normal"/>
    <w:uiPriority w:val="34"/>
    <w:qFormat/>
    <w:rsid w:val="00526815"/>
    <w:pPr>
      <w:ind w:left="720"/>
      <w:contextualSpacing/>
    </w:pPr>
  </w:style>
  <w:style w:type="paragraph" w:styleId="BalloonText">
    <w:name w:val="Balloon Text"/>
    <w:basedOn w:val="Normal"/>
    <w:link w:val="BalloonTextChar"/>
    <w:uiPriority w:val="99"/>
    <w:semiHidden/>
    <w:unhideWhenUsed/>
    <w:rsid w:val="008A2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45"/>
    <w:rPr>
      <w:rFonts w:ascii="Tahoma" w:eastAsiaTheme="minorEastAsia" w:hAnsi="Tahoma" w:cs="Tahoma"/>
      <w:sz w:val="16"/>
      <w:szCs w:val="16"/>
    </w:rPr>
  </w:style>
  <w:style w:type="character" w:styleId="Hyperlink">
    <w:name w:val="Hyperlink"/>
    <w:basedOn w:val="DefaultParagraphFont"/>
    <w:uiPriority w:val="99"/>
    <w:unhideWhenUsed/>
    <w:rsid w:val="009773F1"/>
    <w:rPr>
      <w:color w:val="0000FF" w:themeColor="hyperlink"/>
      <w:u w:val="single"/>
    </w:rPr>
  </w:style>
  <w:style w:type="paragraph" w:customStyle="1" w:styleId="Normal1">
    <w:name w:val="Normal1"/>
    <w:basedOn w:val="Normal"/>
    <w:rsid w:val="008515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C110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06BE"/>
    <w:rPr>
      <w:i/>
      <w:iCs/>
    </w:rPr>
  </w:style>
  <w:style w:type="paragraph" w:customStyle="1" w:styleId="description">
    <w:name w:val="description"/>
    <w:basedOn w:val="Normal"/>
    <w:rsid w:val="00031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62B96"/>
    <w:rPr>
      <w:rFonts w:asciiTheme="majorHAnsi" w:eastAsiaTheme="majorEastAsia" w:hAnsiTheme="majorHAnsi" w:cstheme="majorBidi"/>
      <w:b/>
      <w:bCs/>
      <w:color w:val="4F81BD" w:themeColor="accent1"/>
      <w:sz w:val="26"/>
      <w:szCs w:val="26"/>
    </w:rPr>
  </w:style>
  <w:style w:type="character" w:customStyle="1" w:styleId="hgkelc">
    <w:name w:val="hgkelc"/>
    <w:basedOn w:val="DefaultParagraphFont"/>
    <w:rsid w:val="00FE6842"/>
  </w:style>
  <w:style w:type="paragraph" w:customStyle="1" w:styleId="pbody">
    <w:name w:val="pbody"/>
    <w:basedOn w:val="Normal"/>
    <w:rsid w:val="00292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BA5BE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oidungclearfix">
    <w:name w:val="noidung clearfix"/>
    <w:rsid w:val="003A7D5B"/>
    <w:pPr>
      <w:spacing w:before="100" w:after="100" w:line="240" w:lineRule="auto"/>
    </w:pPr>
    <w:rPr>
      <w:rFonts w:ascii="Times New Roman" w:eastAsia="Arial Unicode MS" w:hAnsi="Arial Unicode MS" w:cs="Arial Unicode MS"/>
      <w:color w:val="000000"/>
      <w:sz w:val="24"/>
      <w:szCs w:val="24"/>
      <w:u w:color="000000"/>
    </w:rPr>
  </w:style>
  <w:style w:type="character" w:customStyle="1" w:styleId="Heading3Char">
    <w:name w:val="Heading 3 Char"/>
    <w:basedOn w:val="DefaultParagraphFont"/>
    <w:link w:val="Heading3"/>
    <w:uiPriority w:val="9"/>
    <w:semiHidden/>
    <w:rsid w:val="00A32C9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1C3F57"/>
    <w:rPr>
      <w:b/>
      <w:bCs/>
    </w:rPr>
  </w:style>
  <w:style w:type="paragraph" w:customStyle="1" w:styleId="t1">
    <w:name w:val="t1"/>
    <w:basedOn w:val="Normal"/>
    <w:rsid w:val="00313EE4"/>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rsid w:val="0005559E"/>
    <w:pPr>
      <w:spacing w:after="0" w:line="240" w:lineRule="auto"/>
      <w:ind w:firstLine="720"/>
      <w:jc w:val="both"/>
    </w:pPr>
    <w:rPr>
      <w:rFonts w:eastAsiaTheme="minorEastAsia"/>
      <w:kern w:val="2"/>
      <w:lang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132C4"/>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C132C4"/>
  </w:style>
  <w:style w:type="character" w:customStyle="1" w:styleId="t286pc">
    <w:name w:val="t286pc"/>
    <w:basedOn w:val="DefaultParagraphFont"/>
    <w:rsid w:val="00727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A2"/>
    <w:rPr>
      <w:rFonts w:eastAsiaTheme="minorEastAsia"/>
    </w:rPr>
  </w:style>
  <w:style w:type="paragraph" w:styleId="Heading1">
    <w:name w:val="heading 1"/>
    <w:basedOn w:val="Normal"/>
    <w:link w:val="Heading1Char"/>
    <w:uiPriority w:val="9"/>
    <w:qFormat/>
    <w:rsid w:val="00D83E4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2">
    <w:name w:val="heading 2"/>
    <w:basedOn w:val="Normal"/>
    <w:next w:val="Normal"/>
    <w:link w:val="Heading2Char"/>
    <w:uiPriority w:val="9"/>
    <w:unhideWhenUsed/>
    <w:qFormat/>
    <w:rsid w:val="00F62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2C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A1AF2"/>
    <w:rPr>
      <w:vertAlign w:val="superscript"/>
    </w:rPr>
  </w:style>
  <w:style w:type="character" w:customStyle="1" w:styleId="rynqvb">
    <w:name w:val="rynqvb"/>
    <w:basedOn w:val="DefaultParagraphFont"/>
    <w:rsid w:val="00AD3B23"/>
  </w:style>
  <w:style w:type="paragraph" w:styleId="FootnoteText">
    <w:name w:val="footnote text"/>
    <w:basedOn w:val="Normal"/>
    <w:link w:val="FootnoteTextChar"/>
    <w:uiPriority w:val="99"/>
    <w:unhideWhenUsed/>
    <w:rsid w:val="00AD3B23"/>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AD3B23"/>
    <w:rPr>
      <w:sz w:val="20"/>
      <w:szCs w:val="20"/>
    </w:rPr>
  </w:style>
  <w:style w:type="character" w:customStyle="1" w:styleId="Heading1Char">
    <w:name w:val="Heading 1 Char"/>
    <w:basedOn w:val="DefaultParagraphFont"/>
    <w:link w:val="Heading1"/>
    <w:uiPriority w:val="9"/>
    <w:rsid w:val="00D83E45"/>
    <w:rPr>
      <w:rFonts w:ascii="Times New Roman" w:eastAsia="Times New Roman" w:hAnsi="Times New Roman" w:cs="Times New Roman"/>
      <w:b/>
      <w:bCs/>
      <w:kern w:val="36"/>
      <w:sz w:val="48"/>
      <w:szCs w:val="48"/>
      <w:lang w:val="x-none" w:eastAsia="x-none"/>
    </w:rPr>
  </w:style>
  <w:style w:type="character" w:customStyle="1" w:styleId="hwtze">
    <w:name w:val="hwtze"/>
    <w:basedOn w:val="DefaultParagraphFont"/>
    <w:rsid w:val="006B5FBA"/>
  </w:style>
  <w:style w:type="paragraph" w:styleId="NormalWeb">
    <w:name w:val="Normal (Web)"/>
    <w:aliases w:val="Char,Char1 Char,Char1"/>
    <w:basedOn w:val="Normal"/>
    <w:uiPriority w:val="99"/>
    <w:unhideWhenUsed/>
    <w:qFormat/>
    <w:rsid w:val="00886C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D5C"/>
    <w:rPr>
      <w:rFonts w:eastAsiaTheme="minorEastAsia"/>
    </w:rPr>
  </w:style>
  <w:style w:type="paragraph" w:styleId="Footer">
    <w:name w:val="footer"/>
    <w:basedOn w:val="Normal"/>
    <w:link w:val="FooterChar"/>
    <w:uiPriority w:val="99"/>
    <w:unhideWhenUsed/>
    <w:rsid w:val="001B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D5C"/>
    <w:rPr>
      <w:rFonts w:eastAsiaTheme="minorEastAsia"/>
    </w:rPr>
  </w:style>
  <w:style w:type="paragraph" w:styleId="ListParagraph">
    <w:name w:val="List Paragraph"/>
    <w:basedOn w:val="Normal"/>
    <w:uiPriority w:val="34"/>
    <w:qFormat/>
    <w:rsid w:val="00526815"/>
    <w:pPr>
      <w:ind w:left="720"/>
      <w:contextualSpacing/>
    </w:pPr>
  </w:style>
  <w:style w:type="paragraph" w:styleId="BalloonText">
    <w:name w:val="Balloon Text"/>
    <w:basedOn w:val="Normal"/>
    <w:link w:val="BalloonTextChar"/>
    <w:uiPriority w:val="99"/>
    <w:semiHidden/>
    <w:unhideWhenUsed/>
    <w:rsid w:val="008A2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45"/>
    <w:rPr>
      <w:rFonts w:ascii="Tahoma" w:eastAsiaTheme="minorEastAsia" w:hAnsi="Tahoma" w:cs="Tahoma"/>
      <w:sz w:val="16"/>
      <w:szCs w:val="16"/>
    </w:rPr>
  </w:style>
  <w:style w:type="character" w:styleId="Hyperlink">
    <w:name w:val="Hyperlink"/>
    <w:basedOn w:val="DefaultParagraphFont"/>
    <w:uiPriority w:val="99"/>
    <w:unhideWhenUsed/>
    <w:rsid w:val="009773F1"/>
    <w:rPr>
      <w:color w:val="0000FF" w:themeColor="hyperlink"/>
      <w:u w:val="single"/>
    </w:rPr>
  </w:style>
  <w:style w:type="paragraph" w:customStyle="1" w:styleId="Normal1">
    <w:name w:val="Normal1"/>
    <w:basedOn w:val="Normal"/>
    <w:rsid w:val="008515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C110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06BE"/>
    <w:rPr>
      <w:i/>
      <w:iCs/>
    </w:rPr>
  </w:style>
  <w:style w:type="paragraph" w:customStyle="1" w:styleId="description">
    <w:name w:val="description"/>
    <w:basedOn w:val="Normal"/>
    <w:rsid w:val="00031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62B96"/>
    <w:rPr>
      <w:rFonts w:asciiTheme="majorHAnsi" w:eastAsiaTheme="majorEastAsia" w:hAnsiTheme="majorHAnsi" w:cstheme="majorBidi"/>
      <w:b/>
      <w:bCs/>
      <w:color w:val="4F81BD" w:themeColor="accent1"/>
      <w:sz w:val="26"/>
      <w:szCs w:val="26"/>
    </w:rPr>
  </w:style>
  <w:style w:type="character" w:customStyle="1" w:styleId="hgkelc">
    <w:name w:val="hgkelc"/>
    <w:basedOn w:val="DefaultParagraphFont"/>
    <w:rsid w:val="00FE6842"/>
  </w:style>
  <w:style w:type="paragraph" w:customStyle="1" w:styleId="pbody">
    <w:name w:val="pbody"/>
    <w:basedOn w:val="Normal"/>
    <w:rsid w:val="00292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BA5BE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oidungclearfix">
    <w:name w:val="noidung clearfix"/>
    <w:rsid w:val="003A7D5B"/>
    <w:pPr>
      <w:spacing w:before="100" w:after="100" w:line="240" w:lineRule="auto"/>
    </w:pPr>
    <w:rPr>
      <w:rFonts w:ascii="Times New Roman" w:eastAsia="Arial Unicode MS" w:hAnsi="Arial Unicode MS" w:cs="Arial Unicode MS"/>
      <w:color w:val="000000"/>
      <w:sz w:val="24"/>
      <w:szCs w:val="24"/>
      <w:u w:color="000000"/>
    </w:rPr>
  </w:style>
  <w:style w:type="character" w:customStyle="1" w:styleId="Heading3Char">
    <w:name w:val="Heading 3 Char"/>
    <w:basedOn w:val="DefaultParagraphFont"/>
    <w:link w:val="Heading3"/>
    <w:uiPriority w:val="9"/>
    <w:semiHidden/>
    <w:rsid w:val="00A32C9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1C3F57"/>
    <w:rPr>
      <w:b/>
      <w:bCs/>
    </w:rPr>
  </w:style>
  <w:style w:type="paragraph" w:customStyle="1" w:styleId="t1">
    <w:name w:val="t1"/>
    <w:basedOn w:val="Normal"/>
    <w:rsid w:val="00313EE4"/>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rsid w:val="0005559E"/>
    <w:pPr>
      <w:spacing w:after="0" w:line="240" w:lineRule="auto"/>
      <w:ind w:firstLine="720"/>
      <w:jc w:val="both"/>
    </w:pPr>
    <w:rPr>
      <w:rFonts w:eastAsiaTheme="minorEastAsia"/>
      <w:kern w:val="2"/>
      <w:lang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132C4"/>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C132C4"/>
  </w:style>
  <w:style w:type="character" w:customStyle="1" w:styleId="t286pc">
    <w:name w:val="t286pc"/>
    <w:basedOn w:val="DefaultParagraphFont"/>
    <w:rsid w:val="0072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82">
      <w:bodyDiv w:val="1"/>
      <w:marLeft w:val="0"/>
      <w:marRight w:val="0"/>
      <w:marTop w:val="0"/>
      <w:marBottom w:val="0"/>
      <w:divBdr>
        <w:top w:val="none" w:sz="0" w:space="0" w:color="auto"/>
        <w:left w:val="none" w:sz="0" w:space="0" w:color="auto"/>
        <w:bottom w:val="none" w:sz="0" w:space="0" w:color="auto"/>
        <w:right w:val="none" w:sz="0" w:space="0" w:color="auto"/>
      </w:divBdr>
    </w:div>
    <w:div w:id="144903165">
      <w:bodyDiv w:val="1"/>
      <w:marLeft w:val="0"/>
      <w:marRight w:val="0"/>
      <w:marTop w:val="0"/>
      <w:marBottom w:val="0"/>
      <w:divBdr>
        <w:top w:val="none" w:sz="0" w:space="0" w:color="auto"/>
        <w:left w:val="none" w:sz="0" w:space="0" w:color="auto"/>
        <w:bottom w:val="none" w:sz="0" w:space="0" w:color="auto"/>
        <w:right w:val="none" w:sz="0" w:space="0" w:color="auto"/>
      </w:divBdr>
      <w:divsChild>
        <w:div w:id="2029721716">
          <w:marLeft w:val="0"/>
          <w:marRight w:val="0"/>
          <w:marTop w:val="0"/>
          <w:marBottom w:val="0"/>
          <w:divBdr>
            <w:top w:val="none" w:sz="0" w:space="0" w:color="auto"/>
            <w:left w:val="none" w:sz="0" w:space="0" w:color="auto"/>
            <w:bottom w:val="none" w:sz="0" w:space="0" w:color="auto"/>
            <w:right w:val="none" w:sz="0" w:space="0" w:color="auto"/>
          </w:divBdr>
        </w:div>
        <w:div w:id="639267718">
          <w:marLeft w:val="0"/>
          <w:marRight w:val="0"/>
          <w:marTop w:val="0"/>
          <w:marBottom w:val="0"/>
          <w:divBdr>
            <w:top w:val="none" w:sz="0" w:space="0" w:color="auto"/>
            <w:left w:val="none" w:sz="0" w:space="0" w:color="auto"/>
            <w:bottom w:val="none" w:sz="0" w:space="0" w:color="auto"/>
            <w:right w:val="none" w:sz="0" w:space="0" w:color="auto"/>
          </w:divBdr>
        </w:div>
      </w:divsChild>
    </w:div>
    <w:div w:id="156263822">
      <w:bodyDiv w:val="1"/>
      <w:marLeft w:val="0"/>
      <w:marRight w:val="0"/>
      <w:marTop w:val="0"/>
      <w:marBottom w:val="0"/>
      <w:divBdr>
        <w:top w:val="none" w:sz="0" w:space="0" w:color="auto"/>
        <w:left w:val="none" w:sz="0" w:space="0" w:color="auto"/>
        <w:bottom w:val="none" w:sz="0" w:space="0" w:color="auto"/>
        <w:right w:val="none" w:sz="0" w:space="0" w:color="auto"/>
      </w:divBdr>
    </w:div>
    <w:div w:id="161623405">
      <w:bodyDiv w:val="1"/>
      <w:marLeft w:val="0"/>
      <w:marRight w:val="0"/>
      <w:marTop w:val="0"/>
      <w:marBottom w:val="0"/>
      <w:divBdr>
        <w:top w:val="none" w:sz="0" w:space="0" w:color="auto"/>
        <w:left w:val="none" w:sz="0" w:space="0" w:color="auto"/>
        <w:bottom w:val="none" w:sz="0" w:space="0" w:color="auto"/>
        <w:right w:val="none" w:sz="0" w:space="0" w:color="auto"/>
      </w:divBdr>
    </w:div>
    <w:div w:id="168449253">
      <w:bodyDiv w:val="1"/>
      <w:marLeft w:val="0"/>
      <w:marRight w:val="0"/>
      <w:marTop w:val="0"/>
      <w:marBottom w:val="0"/>
      <w:divBdr>
        <w:top w:val="none" w:sz="0" w:space="0" w:color="auto"/>
        <w:left w:val="none" w:sz="0" w:space="0" w:color="auto"/>
        <w:bottom w:val="none" w:sz="0" w:space="0" w:color="auto"/>
        <w:right w:val="none" w:sz="0" w:space="0" w:color="auto"/>
      </w:divBdr>
    </w:div>
    <w:div w:id="179783261">
      <w:bodyDiv w:val="1"/>
      <w:marLeft w:val="0"/>
      <w:marRight w:val="0"/>
      <w:marTop w:val="0"/>
      <w:marBottom w:val="0"/>
      <w:divBdr>
        <w:top w:val="none" w:sz="0" w:space="0" w:color="auto"/>
        <w:left w:val="none" w:sz="0" w:space="0" w:color="auto"/>
        <w:bottom w:val="none" w:sz="0" w:space="0" w:color="auto"/>
        <w:right w:val="none" w:sz="0" w:space="0" w:color="auto"/>
      </w:divBdr>
    </w:div>
    <w:div w:id="253125025">
      <w:bodyDiv w:val="1"/>
      <w:marLeft w:val="0"/>
      <w:marRight w:val="0"/>
      <w:marTop w:val="0"/>
      <w:marBottom w:val="0"/>
      <w:divBdr>
        <w:top w:val="none" w:sz="0" w:space="0" w:color="auto"/>
        <w:left w:val="none" w:sz="0" w:space="0" w:color="auto"/>
        <w:bottom w:val="none" w:sz="0" w:space="0" w:color="auto"/>
        <w:right w:val="none" w:sz="0" w:space="0" w:color="auto"/>
      </w:divBdr>
    </w:div>
    <w:div w:id="259725956">
      <w:bodyDiv w:val="1"/>
      <w:marLeft w:val="0"/>
      <w:marRight w:val="0"/>
      <w:marTop w:val="0"/>
      <w:marBottom w:val="0"/>
      <w:divBdr>
        <w:top w:val="none" w:sz="0" w:space="0" w:color="auto"/>
        <w:left w:val="none" w:sz="0" w:space="0" w:color="auto"/>
        <w:bottom w:val="none" w:sz="0" w:space="0" w:color="auto"/>
        <w:right w:val="none" w:sz="0" w:space="0" w:color="auto"/>
      </w:divBdr>
    </w:div>
    <w:div w:id="321005467">
      <w:bodyDiv w:val="1"/>
      <w:marLeft w:val="0"/>
      <w:marRight w:val="0"/>
      <w:marTop w:val="0"/>
      <w:marBottom w:val="0"/>
      <w:divBdr>
        <w:top w:val="none" w:sz="0" w:space="0" w:color="auto"/>
        <w:left w:val="none" w:sz="0" w:space="0" w:color="auto"/>
        <w:bottom w:val="none" w:sz="0" w:space="0" w:color="auto"/>
        <w:right w:val="none" w:sz="0" w:space="0" w:color="auto"/>
      </w:divBdr>
    </w:div>
    <w:div w:id="457994287">
      <w:bodyDiv w:val="1"/>
      <w:marLeft w:val="0"/>
      <w:marRight w:val="0"/>
      <w:marTop w:val="0"/>
      <w:marBottom w:val="0"/>
      <w:divBdr>
        <w:top w:val="none" w:sz="0" w:space="0" w:color="auto"/>
        <w:left w:val="none" w:sz="0" w:space="0" w:color="auto"/>
        <w:bottom w:val="none" w:sz="0" w:space="0" w:color="auto"/>
        <w:right w:val="none" w:sz="0" w:space="0" w:color="auto"/>
      </w:divBdr>
    </w:div>
    <w:div w:id="461307943">
      <w:bodyDiv w:val="1"/>
      <w:marLeft w:val="0"/>
      <w:marRight w:val="0"/>
      <w:marTop w:val="0"/>
      <w:marBottom w:val="0"/>
      <w:divBdr>
        <w:top w:val="none" w:sz="0" w:space="0" w:color="auto"/>
        <w:left w:val="none" w:sz="0" w:space="0" w:color="auto"/>
        <w:bottom w:val="none" w:sz="0" w:space="0" w:color="auto"/>
        <w:right w:val="none" w:sz="0" w:space="0" w:color="auto"/>
      </w:divBdr>
    </w:div>
    <w:div w:id="644360715">
      <w:bodyDiv w:val="1"/>
      <w:marLeft w:val="0"/>
      <w:marRight w:val="0"/>
      <w:marTop w:val="0"/>
      <w:marBottom w:val="0"/>
      <w:divBdr>
        <w:top w:val="none" w:sz="0" w:space="0" w:color="auto"/>
        <w:left w:val="none" w:sz="0" w:space="0" w:color="auto"/>
        <w:bottom w:val="none" w:sz="0" w:space="0" w:color="auto"/>
        <w:right w:val="none" w:sz="0" w:space="0" w:color="auto"/>
      </w:divBdr>
    </w:div>
    <w:div w:id="703793961">
      <w:bodyDiv w:val="1"/>
      <w:marLeft w:val="0"/>
      <w:marRight w:val="0"/>
      <w:marTop w:val="0"/>
      <w:marBottom w:val="0"/>
      <w:divBdr>
        <w:top w:val="none" w:sz="0" w:space="0" w:color="auto"/>
        <w:left w:val="none" w:sz="0" w:space="0" w:color="auto"/>
        <w:bottom w:val="none" w:sz="0" w:space="0" w:color="auto"/>
        <w:right w:val="none" w:sz="0" w:space="0" w:color="auto"/>
      </w:divBdr>
      <w:divsChild>
        <w:div w:id="336541457">
          <w:marLeft w:val="0"/>
          <w:marRight w:val="0"/>
          <w:marTop w:val="0"/>
          <w:marBottom w:val="0"/>
          <w:divBdr>
            <w:top w:val="none" w:sz="0" w:space="0" w:color="auto"/>
            <w:left w:val="none" w:sz="0" w:space="0" w:color="auto"/>
            <w:bottom w:val="none" w:sz="0" w:space="0" w:color="auto"/>
            <w:right w:val="none" w:sz="0" w:space="0" w:color="auto"/>
          </w:divBdr>
        </w:div>
      </w:divsChild>
    </w:div>
    <w:div w:id="714280408">
      <w:bodyDiv w:val="1"/>
      <w:marLeft w:val="0"/>
      <w:marRight w:val="0"/>
      <w:marTop w:val="0"/>
      <w:marBottom w:val="0"/>
      <w:divBdr>
        <w:top w:val="none" w:sz="0" w:space="0" w:color="auto"/>
        <w:left w:val="none" w:sz="0" w:space="0" w:color="auto"/>
        <w:bottom w:val="none" w:sz="0" w:space="0" w:color="auto"/>
        <w:right w:val="none" w:sz="0" w:space="0" w:color="auto"/>
      </w:divBdr>
    </w:div>
    <w:div w:id="714692962">
      <w:bodyDiv w:val="1"/>
      <w:marLeft w:val="0"/>
      <w:marRight w:val="0"/>
      <w:marTop w:val="0"/>
      <w:marBottom w:val="0"/>
      <w:divBdr>
        <w:top w:val="none" w:sz="0" w:space="0" w:color="auto"/>
        <w:left w:val="none" w:sz="0" w:space="0" w:color="auto"/>
        <w:bottom w:val="none" w:sz="0" w:space="0" w:color="auto"/>
        <w:right w:val="none" w:sz="0" w:space="0" w:color="auto"/>
      </w:divBdr>
    </w:div>
    <w:div w:id="750007586">
      <w:bodyDiv w:val="1"/>
      <w:marLeft w:val="0"/>
      <w:marRight w:val="0"/>
      <w:marTop w:val="0"/>
      <w:marBottom w:val="0"/>
      <w:divBdr>
        <w:top w:val="none" w:sz="0" w:space="0" w:color="auto"/>
        <w:left w:val="none" w:sz="0" w:space="0" w:color="auto"/>
        <w:bottom w:val="none" w:sz="0" w:space="0" w:color="auto"/>
        <w:right w:val="none" w:sz="0" w:space="0" w:color="auto"/>
      </w:divBdr>
    </w:div>
    <w:div w:id="757823088">
      <w:bodyDiv w:val="1"/>
      <w:marLeft w:val="0"/>
      <w:marRight w:val="0"/>
      <w:marTop w:val="0"/>
      <w:marBottom w:val="0"/>
      <w:divBdr>
        <w:top w:val="none" w:sz="0" w:space="0" w:color="auto"/>
        <w:left w:val="none" w:sz="0" w:space="0" w:color="auto"/>
        <w:bottom w:val="none" w:sz="0" w:space="0" w:color="auto"/>
        <w:right w:val="none" w:sz="0" w:space="0" w:color="auto"/>
      </w:divBdr>
    </w:div>
    <w:div w:id="778261044">
      <w:bodyDiv w:val="1"/>
      <w:marLeft w:val="0"/>
      <w:marRight w:val="0"/>
      <w:marTop w:val="0"/>
      <w:marBottom w:val="0"/>
      <w:divBdr>
        <w:top w:val="none" w:sz="0" w:space="0" w:color="auto"/>
        <w:left w:val="none" w:sz="0" w:space="0" w:color="auto"/>
        <w:bottom w:val="none" w:sz="0" w:space="0" w:color="auto"/>
        <w:right w:val="none" w:sz="0" w:space="0" w:color="auto"/>
      </w:divBdr>
    </w:div>
    <w:div w:id="944266400">
      <w:bodyDiv w:val="1"/>
      <w:marLeft w:val="0"/>
      <w:marRight w:val="0"/>
      <w:marTop w:val="0"/>
      <w:marBottom w:val="0"/>
      <w:divBdr>
        <w:top w:val="none" w:sz="0" w:space="0" w:color="auto"/>
        <w:left w:val="none" w:sz="0" w:space="0" w:color="auto"/>
        <w:bottom w:val="none" w:sz="0" w:space="0" w:color="auto"/>
        <w:right w:val="none" w:sz="0" w:space="0" w:color="auto"/>
      </w:divBdr>
    </w:div>
    <w:div w:id="979916620">
      <w:bodyDiv w:val="1"/>
      <w:marLeft w:val="0"/>
      <w:marRight w:val="0"/>
      <w:marTop w:val="0"/>
      <w:marBottom w:val="0"/>
      <w:divBdr>
        <w:top w:val="none" w:sz="0" w:space="0" w:color="auto"/>
        <w:left w:val="none" w:sz="0" w:space="0" w:color="auto"/>
        <w:bottom w:val="none" w:sz="0" w:space="0" w:color="auto"/>
        <w:right w:val="none" w:sz="0" w:space="0" w:color="auto"/>
      </w:divBdr>
    </w:div>
    <w:div w:id="984747839">
      <w:bodyDiv w:val="1"/>
      <w:marLeft w:val="0"/>
      <w:marRight w:val="0"/>
      <w:marTop w:val="0"/>
      <w:marBottom w:val="0"/>
      <w:divBdr>
        <w:top w:val="none" w:sz="0" w:space="0" w:color="auto"/>
        <w:left w:val="none" w:sz="0" w:space="0" w:color="auto"/>
        <w:bottom w:val="none" w:sz="0" w:space="0" w:color="auto"/>
        <w:right w:val="none" w:sz="0" w:space="0" w:color="auto"/>
      </w:divBdr>
    </w:div>
    <w:div w:id="1007093934">
      <w:bodyDiv w:val="1"/>
      <w:marLeft w:val="0"/>
      <w:marRight w:val="0"/>
      <w:marTop w:val="0"/>
      <w:marBottom w:val="0"/>
      <w:divBdr>
        <w:top w:val="none" w:sz="0" w:space="0" w:color="auto"/>
        <w:left w:val="none" w:sz="0" w:space="0" w:color="auto"/>
        <w:bottom w:val="none" w:sz="0" w:space="0" w:color="auto"/>
        <w:right w:val="none" w:sz="0" w:space="0" w:color="auto"/>
      </w:divBdr>
    </w:div>
    <w:div w:id="1095856185">
      <w:bodyDiv w:val="1"/>
      <w:marLeft w:val="0"/>
      <w:marRight w:val="0"/>
      <w:marTop w:val="0"/>
      <w:marBottom w:val="0"/>
      <w:divBdr>
        <w:top w:val="none" w:sz="0" w:space="0" w:color="auto"/>
        <w:left w:val="none" w:sz="0" w:space="0" w:color="auto"/>
        <w:bottom w:val="none" w:sz="0" w:space="0" w:color="auto"/>
        <w:right w:val="none" w:sz="0" w:space="0" w:color="auto"/>
      </w:divBdr>
    </w:div>
    <w:div w:id="1096095870">
      <w:bodyDiv w:val="1"/>
      <w:marLeft w:val="0"/>
      <w:marRight w:val="0"/>
      <w:marTop w:val="0"/>
      <w:marBottom w:val="0"/>
      <w:divBdr>
        <w:top w:val="none" w:sz="0" w:space="0" w:color="auto"/>
        <w:left w:val="none" w:sz="0" w:space="0" w:color="auto"/>
        <w:bottom w:val="none" w:sz="0" w:space="0" w:color="auto"/>
        <w:right w:val="none" w:sz="0" w:space="0" w:color="auto"/>
      </w:divBdr>
    </w:div>
    <w:div w:id="1146162654">
      <w:bodyDiv w:val="1"/>
      <w:marLeft w:val="0"/>
      <w:marRight w:val="0"/>
      <w:marTop w:val="0"/>
      <w:marBottom w:val="0"/>
      <w:divBdr>
        <w:top w:val="none" w:sz="0" w:space="0" w:color="auto"/>
        <w:left w:val="none" w:sz="0" w:space="0" w:color="auto"/>
        <w:bottom w:val="none" w:sz="0" w:space="0" w:color="auto"/>
        <w:right w:val="none" w:sz="0" w:space="0" w:color="auto"/>
      </w:divBdr>
    </w:div>
    <w:div w:id="1247038229">
      <w:bodyDiv w:val="1"/>
      <w:marLeft w:val="0"/>
      <w:marRight w:val="0"/>
      <w:marTop w:val="0"/>
      <w:marBottom w:val="0"/>
      <w:divBdr>
        <w:top w:val="none" w:sz="0" w:space="0" w:color="auto"/>
        <w:left w:val="none" w:sz="0" w:space="0" w:color="auto"/>
        <w:bottom w:val="none" w:sz="0" w:space="0" w:color="auto"/>
        <w:right w:val="none" w:sz="0" w:space="0" w:color="auto"/>
      </w:divBdr>
    </w:div>
    <w:div w:id="1249735595">
      <w:bodyDiv w:val="1"/>
      <w:marLeft w:val="0"/>
      <w:marRight w:val="0"/>
      <w:marTop w:val="0"/>
      <w:marBottom w:val="0"/>
      <w:divBdr>
        <w:top w:val="none" w:sz="0" w:space="0" w:color="auto"/>
        <w:left w:val="none" w:sz="0" w:space="0" w:color="auto"/>
        <w:bottom w:val="none" w:sz="0" w:space="0" w:color="auto"/>
        <w:right w:val="none" w:sz="0" w:space="0" w:color="auto"/>
      </w:divBdr>
    </w:div>
    <w:div w:id="1275401154">
      <w:bodyDiv w:val="1"/>
      <w:marLeft w:val="0"/>
      <w:marRight w:val="0"/>
      <w:marTop w:val="0"/>
      <w:marBottom w:val="0"/>
      <w:divBdr>
        <w:top w:val="none" w:sz="0" w:space="0" w:color="auto"/>
        <w:left w:val="none" w:sz="0" w:space="0" w:color="auto"/>
        <w:bottom w:val="none" w:sz="0" w:space="0" w:color="auto"/>
        <w:right w:val="none" w:sz="0" w:space="0" w:color="auto"/>
      </w:divBdr>
      <w:divsChild>
        <w:div w:id="837187781">
          <w:marLeft w:val="0"/>
          <w:marRight w:val="0"/>
          <w:marTop w:val="0"/>
          <w:marBottom w:val="0"/>
          <w:divBdr>
            <w:top w:val="none" w:sz="0" w:space="0" w:color="auto"/>
            <w:left w:val="none" w:sz="0" w:space="0" w:color="auto"/>
            <w:bottom w:val="none" w:sz="0" w:space="0" w:color="auto"/>
            <w:right w:val="none" w:sz="0" w:space="0" w:color="auto"/>
          </w:divBdr>
        </w:div>
      </w:divsChild>
    </w:div>
    <w:div w:id="1309355943">
      <w:bodyDiv w:val="1"/>
      <w:marLeft w:val="0"/>
      <w:marRight w:val="0"/>
      <w:marTop w:val="0"/>
      <w:marBottom w:val="0"/>
      <w:divBdr>
        <w:top w:val="none" w:sz="0" w:space="0" w:color="auto"/>
        <w:left w:val="none" w:sz="0" w:space="0" w:color="auto"/>
        <w:bottom w:val="none" w:sz="0" w:space="0" w:color="auto"/>
        <w:right w:val="none" w:sz="0" w:space="0" w:color="auto"/>
      </w:divBdr>
    </w:div>
    <w:div w:id="1387753759">
      <w:bodyDiv w:val="1"/>
      <w:marLeft w:val="0"/>
      <w:marRight w:val="0"/>
      <w:marTop w:val="0"/>
      <w:marBottom w:val="0"/>
      <w:divBdr>
        <w:top w:val="none" w:sz="0" w:space="0" w:color="auto"/>
        <w:left w:val="none" w:sz="0" w:space="0" w:color="auto"/>
        <w:bottom w:val="none" w:sz="0" w:space="0" w:color="auto"/>
        <w:right w:val="none" w:sz="0" w:space="0" w:color="auto"/>
      </w:divBdr>
      <w:divsChild>
        <w:div w:id="115564900">
          <w:marLeft w:val="0"/>
          <w:marRight w:val="0"/>
          <w:marTop w:val="0"/>
          <w:marBottom w:val="0"/>
          <w:divBdr>
            <w:top w:val="none" w:sz="0" w:space="0" w:color="auto"/>
            <w:left w:val="none" w:sz="0" w:space="0" w:color="auto"/>
            <w:bottom w:val="none" w:sz="0" w:space="0" w:color="auto"/>
            <w:right w:val="none" w:sz="0" w:space="0" w:color="auto"/>
          </w:divBdr>
        </w:div>
      </w:divsChild>
    </w:div>
    <w:div w:id="1402679229">
      <w:bodyDiv w:val="1"/>
      <w:marLeft w:val="0"/>
      <w:marRight w:val="0"/>
      <w:marTop w:val="0"/>
      <w:marBottom w:val="0"/>
      <w:divBdr>
        <w:top w:val="none" w:sz="0" w:space="0" w:color="auto"/>
        <w:left w:val="none" w:sz="0" w:space="0" w:color="auto"/>
        <w:bottom w:val="none" w:sz="0" w:space="0" w:color="auto"/>
        <w:right w:val="none" w:sz="0" w:space="0" w:color="auto"/>
      </w:divBdr>
    </w:div>
    <w:div w:id="1407914722">
      <w:bodyDiv w:val="1"/>
      <w:marLeft w:val="0"/>
      <w:marRight w:val="0"/>
      <w:marTop w:val="0"/>
      <w:marBottom w:val="0"/>
      <w:divBdr>
        <w:top w:val="none" w:sz="0" w:space="0" w:color="auto"/>
        <w:left w:val="none" w:sz="0" w:space="0" w:color="auto"/>
        <w:bottom w:val="none" w:sz="0" w:space="0" w:color="auto"/>
        <w:right w:val="none" w:sz="0" w:space="0" w:color="auto"/>
      </w:divBdr>
    </w:div>
    <w:div w:id="1506558159">
      <w:bodyDiv w:val="1"/>
      <w:marLeft w:val="0"/>
      <w:marRight w:val="0"/>
      <w:marTop w:val="0"/>
      <w:marBottom w:val="0"/>
      <w:divBdr>
        <w:top w:val="none" w:sz="0" w:space="0" w:color="auto"/>
        <w:left w:val="none" w:sz="0" w:space="0" w:color="auto"/>
        <w:bottom w:val="none" w:sz="0" w:space="0" w:color="auto"/>
        <w:right w:val="none" w:sz="0" w:space="0" w:color="auto"/>
      </w:divBdr>
    </w:div>
    <w:div w:id="1520973876">
      <w:bodyDiv w:val="1"/>
      <w:marLeft w:val="0"/>
      <w:marRight w:val="0"/>
      <w:marTop w:val="0"/>
      <w:marBottom w:val="0"/>
      <w:divBdr>
        <w:top w:val="none" w:sz="0" w:space="0" w:color="auto"/>
        <w:left w:val="none" w:sz="0" w:space="0" w:color="auto"/>
        <w:bottom w:val="none" w:sz="0" w:space="0" w:color="auto"/>
        <w:right w:val="none" w:sz="0" w:space="0" w:color="auto"/>
      </w:divBdr>
    </w:div>
    <w:div w:id="1570269126">
      <w:bodyDiv w:val="1"/>
      <w:marLeft w:val="0"/>
      <w:marRight w:val="0"/>
      <w:marTop w:val="0"/>
      <w:marBottom w:val="0"/>
      <w:divBdr>
        <w:top w:val="none" w:sz="0" w:space="0" w:color="auto"/>
        <w:left w:val="none" w:sz="0" w:space="0" w:color="auto"/>
        <w:bottom w:val="none" w:sz="0" w:space="0" w:color="auto"/>
        <w:right w:val="none" w:sz="0" w:space="0" w:color="auto"/>
      </w:divBdr>
    </w:div>
    <w:div w:id="1596474114">
      <w:bodyDiv w:val="1"/>
      <w:marLeft w:val="0"/>
      <w:marRight w:val="0"/>
      <w:marTop w:val="0"/>
      <w:marBottom w:val="0"/>
      <w:divBdr>
        <w:top w:val="none" w:sz="0" w:space="0" w:color="auto"/>
        <w:left w:val="none" w:sz="0" w:space="0" w:color="auto"/>
        <w:bottom w:val="none" w:sz="0" w:space="0" w:color="auto"/>
        <w:right w:val="none" w:sz="0" w:space="0" w:color="auto"/>
      </w:divBdr>
    </w:div>
    <w:div w:id="1612972655">
      <w:bodyDiv w:val="1"/>
      <w:marLeft w:val="0"/>
      <w:marRight w:val="0"/>
      <w:marTop w:val="0"/>
      <w:marBottom w:val="0"/>
      <w:divBdr>
        <w:top w:val="none" w:sz="0" w:space="0" w:color="auto"/>
        <w:left w:val="none" w:sz="0" w:space="0" w:color="auto"/>
        <w:bottom w:val="none" w:sz="0" w:space="0" w:color="auto"/>
        <w:right w:val="none" w:sz="0" w:space="0" w:color="auto"/>
      </w:divBdr>
    </w:div>
    <w:div w:id="1750729260">
      <w:bodyDiv w:val="1"/>
      <w:marLeft w:val="0"/>
      <w:marRight w:val="0"/>
      <w:marTop w:val="0"/>
      <w:marBottom w:val="0"/>
      <w:divBdr>
        <w:top w:val="none" w:sz="0" w:space="0" w:color="auto"/>
        <w:left w:val="none" w:sz="0" w:space="0" w:color="auto"/>
        <w:bottom w:val="none" w:sz="0" w:space="0" w:color="auto"/>
        <w:right w:val="none" w:sz="0" w:space="0" w:color="auto"/>
      </w:divBdr>
    </w:div>
    <w:div w:id="1802461478">
      <w:bodyDiv w:val="1"/>
      <w:marLeft w:val="0"/>
      <w:marRight w:val="0"/>
      <w:marTop w:val="0"/>
      <w:marBottom w:val="0"/>
      <w:divBdr>
        <w:top w:val="none" w:sz="0" w:space="0" w:color="auto"/>
        <w:left w:val="none" w:sz="0" w:space="0" w:color="auto"/>
        <w:bottom w:val="none" w:sz="0" w:space="0" w:color="auto"/>
        <w:right w:val="none" w:sz="0" w:space="0" w:color="auto"/>
      </w:divBdr>
    </w:div>
    <w:div w:id="1830749043">
      <w:bodyDiv w:val="1"/>
      <w:marLeft w:val="0"/>
      <w:marRight w:val="0"/>
      <w:marTop w:val="0"/>
      <w:marBottom w:val="0"/>
      <w:divBdr>
        <w:top w:val="none" w:sz="0" w:space="0" w:color="auto"/>
        <w:left w:val="none" w:sz="0" w:space="0" w:color="auto"/>
        <w:bottom w:val="none" w:sz="0" w:space="0" w:color="auto"/>
        <w:right w:val="none" w:sz="0" w:space="0" w:color="auto"/>
      </w:divBdr>
    </w:div>
    <w:div w:id="1836261011">
      <w:bodyDiv w:val="1"/>
      <w:marLeft w:val="0"/>
      <w:marRight w:val="0"/>
      <w:marTop w:val="0"/>
      <w:marBottom w:val="0"/>
      <w:divBdr>
        <w:top w:val="none" w:sz="0" w:space="0" w:color="auto"/>
        <w:left w:val="none" w:sz="0" w:space="0" w:color="auto"/>
        <w:bottom w:val="none" w:sz="0" w:space="0" w:color="auto"/>
        <w:right w:val="none" w:sz="0" w:space="0" w:color="auto"/>
      </w:divBdr>
    </w:div>
    <w:div w:id="1847092315">
      <w:bodyDiv w:val="1"/>
      <w:marLeft w:val="0"/>
      <w:marRight w:val="0"/>
      <w:marTop w:val="0"/>
      <w:marBottom w:val="0"/>
      <w:divBdr>
        <w:top w:val="none" w:sz="0" w:space="0" w:color="auto"/>
        <w:left w:val="none" w:sz="0" w:space="0" w:color="auto"/>
        <w:bottom w:val="none" w:sz="0" w:space="0" w:color="auto"/>
        <w:right w:val="none" w:sz="0" w:space="0" w:color="auto"/>
      </w:divBdr>
    </w:div>
    <w:div w:id="1943611880">
      <w:bodyDiv w:val="1"/>
      <w:marLeft w:val="0"/>
      <w:marRight w:val="0"/>
      <w:marTop w:val="0"/>
      <w:marBottom w:val="0"/>
      <w:divBdr>
        <w:top w:val="none" w:sz="0" w:space="0" w:color="auto"/>
        <w:left w:val="none" w:sz="0" w:space="0" w:color="auto"/>
        <w:bottom w:val="none" w:sz="0" w:space="0" w:color="auto"/>
        <w:right w:val="none" w:sz="0" w:space="0" w:color="auto"/>
      </w:divBdr>
    </w:div>
    <w:div w:id="1957902754">
      <w:bodyDiv w:val="1"/>
      <w:marLeft w:val="0"/>
      <w:marRight w:val="0"/>
      <w:marTop w:val="0"/>
      <w:marBottom w:val="0"/>
      <w:divBdr>
        <w:top w:val="none" w:sz="0" w:space="0" w:color="auto"/>
        <w:left w:val="none" w:sz="0" w:space="0" w:color="auto"/>
        <w:bottom w:val="none" w:sz="0" w:space="0" w:color="auto"/>
        <w:right w:val="none" w:sz="0" w:space="0" w:color="auto"/>
      </w:divBdr>
    </w:div>
    <w:div w:id="1959869489">
      <w:bodyDiv w:val="1"/>
      <w:marLeft w:val="0"/>
      <w:marRight w:val="0"/>
      <w:marTop w:val="0"/>
      <w:marBottom w:val="0"/>
      <w:divBdr>
        <w:top w:val="none" w:sz="0" w:space="0" w:color="auto"/>
        <w:left w:val="none" w:sz="0" w:space="0" w:color="auto"/>
        <w:bottom w:val="none" w:sz="0" w:space="0" w:color="auto"/>
        <w:right w:val="none" w:sz="0" w:space="0" w:color="auto"/>
      </w:divBdr>
    </w:div>
    <w:div w:id="2033191211">
      <w:bodyDiv w:val="1"/>
      <w:marLeft w:val="0"/>
      <w:marRight w:val="0"/>
      <w:marTop w:val="0"/>
      <w:marBottom w:val="0"/>
      <w:divBdr>
        <w:top w:val="none" w:sz="0" w:space="0" w:color="auto"/>
        <w:left w:val="none" w:sz="0" w:space="0" w:color="auto"/>
        <w:bottom w:val="none" w:sz="0" w:space="0" w:color="auto"/>
        <w:right w:val="none" w:sz="0" w:space="0" w:color="auto"/>
      </w:divBdr>
      <w:divsChild>
        <w:div w:id="139882952">
          <w:marLeft w:val="0"/>
          <w:marRight w:val="0"/>
          <w:marTop w:val="0"/>
          <w:marBottom w:val="0"/>
          <w:divBdr>
            <w:top w:val="none" w:sz="0" w:space="0" w:color="auto"/>
            <w:left w:val="none" w:sz="0" w:space="0" w:color="auto"/>
            <w:bottom w:val="none" w:sz="0" w:space="0" w:color="auto"/>
            <w:right w:val="none" w:sz="0" w:space="0" w:color="auto"/>
          </w:divBdr>
          <w:divsChild>
            <w:div w:id="380252157">
              <w:marLeft w:val="0"/>
              <w:marRight w:val="0"/>
              <w:marTop w:val="0"/>
              <w:marBottom w:val="0"/>
              <w:divBdr>
                <w:top w:val="none" w:sz="0" w:space="0" w:color="auto"/>
                <w:left w:val="none" w:sz="0" w:space="0" w:color="auto"/>
                <w:bottom w:val="none" w:sz="0" w:space="0" w:color="auto"/>
                <w:right w:val="none" w:sz="0" w:space="0" w:color="auto"/>
              </w:divBdr>
              <w:divsChild>
                <w:div w:id="774710041">
                  <w:marLeft w:val="0"/>
                  <w:marRight w:val="0"/>
                  <w:marTop w:val="0"/>
                  <w:marBottom w:val="240"/>
                  <w:divBdr>
                    <w:top w:val="none" w:sz="0" w:space="0" w:color="auto"/>
                    <w:left w:val="none" w:sz="0" w:space="0" w:color="auto"/>
                    <w:bottom w:val="none" w:sz="0" w:space="0" w:color="auto"/>
                    <w:right w:val="none" w:sz="0" w:space="0" w:color="auto"/>
                  </w:divBdr>
                </w:div>
                <w:div w:id="174421664">
                  <w:marLeft w:val="180"/>
                  <w:marRight w:val="0"/>
                  <w:marTop w:val="0"/>
                  <w:marBottom w:val="240"/>
                  <w:divBdr>
                    <w:top w:val="none" w:sz="0" w:space="0" w:color="auto"/>
                    <w:left w:val="none" w:sz="0" w:space="0" w:color="auto"/>
                    <w:bottom w:val="none" w:sz="0" w:space="0" w:color="auto"/>
                    <w:right w:val="none" w:sz="0" w:space="0" w:color="auto"/>
                  </w:divBdr>
                </w:div>
              </w:divsChild>
            </w:div>
            <w:div w:id="842623207">
              <w:marLeft w:val="0"/>
              <w:marRight w:val="0"/>
              <w:marTop w:val="0"/>
              <w:marBottom w:val="0"/>
              <w:divBdr>
                <w:top w:val="none" w:sz="0" w:space="0" w:color="auto"/>
                <w:left w:val="none" w:sz="0" w:space="0" w:color="auto"/>
                <w:bottom w:val="none" w:sz="0" w:space="0" w:color="auto"/>
                <w:right w:val="none" w:sz="0" w:space="0" w:color="auto"/>
              </w:divBdr>
              <w:divsChild>
                <w:div w:id="1659916268">
                  <w:marLeft w:val="0"/>
                  <w:marRight w:val="0"/>
                  <w:marTop w:val="0"/>
                  <w:marBottom w:val="0"/>
                  <w:divBdr>
                    <w:top w:val="none" w:sz="0" w:space="0" w:color="auto"/>
                    <w:left w:val="none" w:sz="0" w:space="0" w:color="auto"/>
                    <w:bottom w:val="none" w:sz="0" w:space="0" w:color="auto"/>
                    <w:right w:val="none" w:sz="0" w:space="0" w:color="auto"/>
                  </w:divBdr>
                  <w:divsChild>
                    <w:div w:id="4869742">
                      <w:marLeft w:val="0"/>
                      <w:marRight w:val="0"/>
                      <w:marTop w:val="300"/>
                      <w:marBottom w:val="0"/>
                      <w:divBdr>
                        <w:top w:val="none" w:sz="0" w:space="0" w:color="auto"/>
                        <w:left w:val="none" w:sz="0" w:space="0" w:color="auto"/>
                        <w:bottom w:val="none" w:sz="0" w:space="0" w:color="auto"/>
                        <w:right w:val="none" w:sz="0" w:space="0" w:color="auto"/>
                      </w:divBdr>
                    </w:div>
                  </w:divsChild>
                </w:div>
                <w:div w:id="7542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7810">
          <w:marLeft w:val="0"/>
          <w:marRight w:val="0"/>
          <w:marTop w:val="0"/>
          <w:marBottom w:val="0"/>
          <w:divBdr>
            <w:top w:val="none" w:sz="0" w:space="0" w:color="auto"/>
            <w:left w:val="none" w:sz="0" w:space="0" w:color="auto"/>
            <w:bottom w:val="none" w:sz="0" w:space="0" w:color="auto"/>
            <w:right w:val="none" w:sz="0" w:space="0" w:color="auto"/>
          </w:divBdr>
          <w:divsChild>
            <w:div w:id="381833249">
              <w:marLeft w:val="0"/>
              <w:marRight w:val="0"/>
              <w:marTop w:val="0"/>
              <w:marBottom w:val="0"/>
              <w:divBdr>
                <w:top w:val="none" w:sz="0" w:space="0" w:color="auto"/>
                <w:left w:val="none" w:sz="0" w:space="0" w:color="auto"/>
                <w:bottom w:val="none" w:sz="0" w:space="0" w:color="auto"/>
                <w:right w:val="none" w:sz="0" w:space="0" w:color="auto"/>
              </w:divBdr>
              <w:divsChild>
                <w:div w:id="2015298472">
                  <w:marLeft w:val="0"/>
                  <w:marRight w:val="0"/>
                  <w:marTop w:val="0"/>
                  <w:marBottom w:val="0"/>
                  <w:divBdr>
                    <w:top w:val="none" w:sz="0" w:space="0" w:color="auto"/>
                    <w:left w:val="none" w:sz="0" w:space="0" w:color="auto"/>
                    <w:bottom w:val="none" w:sz="0" w:space="0" w:color="auto"/>
                    <w:right w:val="none" w:sz="0" w:space="0" w:color="auto"/>
                  </w:divBdr>
                  <w:divsChild>
                    <w:div w:id="1027370752">
                      <w:marLeft w:val="0"/>
                      <w:marRight w:val="0"/>
                      <w:marTop w:val="300"/>
                      <w:marBottom w:val="0"/>
                      <w:divBdr>
                        <w:top w:val="none" w:sz="0" w:space="0" w:color="auto"/>
                        <w:left w:val="none" w:sz="0" w:space="0" w:color="auto"/>
                        <w:bottom w:val="none" w:sz="0" w:space="0" w:color="auto"/>
                        <w:right w:val="none" w:sz="0" w:space="0" w:color="auto"/>
                      </w:divBdr>
                    </w:div>
                  </w:divsChild>
                </w:div>
                <w:div w:id="2084520094">
                  <w:marLeft w:val="0"/>
                  <w:marRight w:val="0"/>
                  <w:marTop w:val="0"/>
                  <w:marBottom w:val="0"/>
                  <w:divBdr>
                    <w:top w:val="none" w:sz="0" w:space="0" w:color="auto"/>
                    <w:left w:val="none" w:sz="0" w:space="0" w:color="auto"/>
                    <w:bottom w:val="none" w:sz="0" w:space="0" w:color="auto"/>
                    <w:right w:val="none" w:sz="0" w:space="0" w:color="auto"/>
                  </w:divBdr>
                  <w:divsChild>
                    <w:div w:id="1223104830">
                      <w:marLeft w:val="0"/>
                      <w:marRight w:val="0"/>
                      <w:marTop w:val="0"/>
                      <w:marBottom w:val="0"/>
                      <w:divBdr>
                        <w:top w:val="none" w:sz="0" w:space="0" w:color="auto"/>
                        <w:left w:val="none" w:sz="0" w:space="0" w:color="auto"/>
                        <w:bottom w:val="none" w:sz="0" w:space="0" w:color="auto"/>
                        <w:right w:val="none" w:sz="0" w:space="0" w:color="auto"/>
                      </w:divBdr>
                    </w:div>
                    <w:div w:id="1286690849">
                      <w:marLeft w:val="0"/>
                      <w:marRight w:val="0"/>
                      <w:marTop w:val="300"/>
                      <w:marBottom w:val="0"/>
                      <w:divBdr>
                        <w:top w:val="none" w:sz="0" w:space="0" w:color="auto"/>
                        <w:left w:val="none" w:sz="0" w:space="0" w:color="auto"/>
                        <w:bottom w:val="none" w:sz="0" w:space="0" w:color="auto"/>
                        <w:right w:val="none" w:sz="0" w:space="0" w:color="auto"/>
                      </w:divBdr>
                      <w:divsChild>
                        <w:div w:id="719747079">
                          <w:marLeft w:val="0"/>
                          <w:marRight w:val="0"/>
                          <w:marTop w:val="0"/>
                          <w:marBottom w:val="0"/>
                          <w:divBdr>
                            <w:top w:val="none" w:sz="0" w:space="0" w:color="auto"/>
                            <w:left w:val="none" w:sz="0" w:space="0" w:color="auto"/>
                            <w:bottom w:val="none" w:sz="0" w:space="0" w:color="auto"/>
                            <w:right w:val="none" w:sz="0" w:space="0" w:color="auto"/>
                          </w:divBdr>
                          <w:divsChild>
                            <w:div w:id="143276814">
                              <w:marLeft w:val="0"/>
                              <w:marRight w:val="0"/>
                              <w:marTop w:val="0"/>
                              <w:marBottom w:val="0"/>
                              <w:divBdr>
                                <w:top w:val="none" w:sz="0" w:space="0" w:color="auto"/>
                                <w:left w:val="none" w:sz="0" w:space="0" w:color="auto"/>
                                <w:bottom w:val="none" w:sz="0" w:space="0" w:color="auto"/>
                                <w:right w:val="none" w:sz="0" w:space="0" w:color="auto"/>
                              </w:divBdr>
                              <w:divsChild>
                                <w:div w:id="1594699516">
                                  <w:marLeft w:val="0"/>
                                  <w:marRight w:val="0"/>
                                  <w:marTop w:val="0"/>
                                  <w:marBottom w:val="480"/>
                                  <w:divBdr>
                                    <w:top w:val="none" w:sz="0" w:space="0" w:color="auto"/>
                                    <w:left w:val="none" w:sz="0" w:space="0" w:color="auto"/>
                                    <w:bottom w:val="none" w:sz="0" w:space="0" w:color="auto"/>
                                    <w:right w:val="none" w:sz="0" w:space="0" w:color="auto"/>
                                  </w:divBdr>
                                </w:div>
                                <w:div w:id="58152445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2480">
      <w:bodyDiv w:val="1"/>
      <w:marLeft w:val="0"/>
      <w:marRight w:val="0"/>
      <w:marTop w:val="0"/>
      <w:marBottom w:val="0"/>
      <w:divBdr>
        <w:top w:val="none" w:sz="0" w:space="0" w:color="auto"/>
        <w:left w:val="none" w:sz="0" w:space="0" w:color="auto"/>
        <w:bottom w:val="none" w:sz="0" w:space="0" w:color="auto"/>
        <w:right w:val="none" w:sz="0" w:space="0" w:color="auto"/>
      </w:divBdr>
    </w:div>
    <w:div w:id="2081246701">
      <w:bodyDiv w:val="1"/>
      <w:marLeft w:val="0"/>
      <w:marRight w:val="0"/>
      <w:marTop w:val="0"/>
      <w:marBottom w:val="0"/>
      <w:divBdr>
        <w:top w:val="none" w:sz="0" w:space="0" w:color="auto"/>
        <w:left w:val="none" w:sz="0" w:space="0" w:color="auto"/>
        <w:bottom w:val="none" w:sz="0" w:space="0" w:color="auto"/>
        <w:right w:val="none" w:sz="0" w:space="0" w:color="auto"/>
      </w:divBdr>
    </w:div>
    <w:div w:id="20981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gister.mncsummit.org.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hicoo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handan.vn/tu-khoa/Nangluongmattroi-tag46256.html" TargetMode="External"/><Relationship Id="rId4" Type="http://schemas.microsoft.com/office/2007/relationships/stylesWithEffects" Target="stylesWithEffects.xml"/><Relationship Id="rId9" Type="http://schemas.openxmlformats.org/officeDocument/2006/relationships/hyperlink" Target="https://nhandan.vn/tu-khoa/asean-tag77438.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D7A0-B4E1-4D21-AB80-94D1838B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7259</Words>
  <Characters>41378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43</cp:revision>
  <cp:lastPrinted>2026-01-30T02:24:00Z</cp:lastPrinted>
  <dcterms:created xsi:type="dcterms:W3CDTF">2026-01-29T06:00:00Z</dcterms:created>
  <dcterms:modified xsi:type="dcterms:W3CDTF">2026-01-30T02:32:00Z</dcterms:modified>
</cp:coreProperties>
</file>